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4E" w:rsidRDefault="0055604E" w:rsidP="0055604E">
      <w:pPr>
        <w:spacing w:line="580" w:lineRule="exact"/>
        <w:ind w:firstLine="720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AB354B">
        <w:rPr>
          <w:rFonts w:ascii="方正小标宋简体" w:eastAsia="方正小标宋简体" w:hAnsi="华文中宋" w:cs="黑体" w:hint="eastAsia"/>
          <w:sz w:val="36"/>
          <w:szCs w:val="36"/>
        </w:rPr>
        <w:t>上海市水务局（上海市海洋局）系统</w:t>
      </w:r>
    </w:p>
    <w:p w:rsidR="0055604E" w:rsidRDefault="0055604E" w:rsidP="0055604E">
      <w:pPr>
        <w:spacing w:line="58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AB354B">
        <w:rPr>
          <w:rFonts w:ascii="方正小标宋简体" w:eastAsia="方正小标宋简体" w:hAnsi="华文中宋" w:cs="黑体" w:hint="eastAsia"/>
          <w:sz w:val="36"/>
          <w:szCs w:val="36"/>
        </w:rPr>
        <w:t>“谁执法谁普法”普法责任清单</w:t>
      </w:r>
    </w:p>
    <w:p w:rsidR="0055604E" w:rsidRPr="00AB354B" w:rsidRDefault="0055604E" w:rsidP="0055604E">
      <w:pPr>
        <w:spacing w:line="580" w:lineRule="exact"/>
        <w:jc w:val="center"/>
        <w:rPr>
          <w:rFonts w:ascii="宋体" w:hAnsi="宋体" w:cs="Times New Roman"/>
          <w:b/>
          <w:sz w:val="32"/>
          <w:szCs w:val="32"/>
        </w:rPr>
      </w:pPr>
      <w:r w:rsidRPr="00AB354B">
        <w:rPr>
          <w:rFonts w:ascii="宋体" w:hAnsi="宋体" w:hint="eastAsia"/>
          <w:b/>
          <w:sz w:val="32"/>
          <w:szCs w:val="32"/>
        </w:rPr>
        <w:t>（</w:t>
      </w:r>
      <w:r w:rsidRPr="00AB354B">
        <w:rPr>
          <w:rFonts w:ascii="宋体" w:hAnsi="宋体"/>
          <w:b/>
          <w:sz w:val="32"/>
          <w:szCs w:val="32"/>
        </w:rPr>
        <w:t>2019年修订版）</w:t>
      </w:r>
    </w:p>
    <w:p w:rsidR="0055604E" w:rsidRDefault="0055604E" w:rsidP="0055604E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55604E" w:rsidRDefault="0055604E" w:rsidP="0055604E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B354B">
        <w:rPr>
          <w:rFonts w:ascii="黑体" w:eastAsia="黑体" w:hAnsi="黑体" w:cs="黑体" w:hint="eastAsia"/>
          <w:bCs/>
          <w:sz w:val="32"/>
          <w:szCs w:val="32"/>
        </w:rPr>
        <w:t>一、重点宣传普及的法律法规规章规范性文件清单及责任部门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54AE">
        <w:rPr>
          <w:rFonts w:ascii="仿宋_GB2312" w:eastAsia="仿宋_GB2312" w:hAnsi="仿宋" w:cs="仿宋_GB2312" w:hint="eastAsia"/>
          <w:sz w:val="32"/>
          <w:szCs w:val="32"/>
        </w:rPr>
        <w:t>1.《中华人民共和国宪法》（全系统各单位、各部门）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2.《中华人民共和国行政处罚法》《中华人民共和国行政许可法》《中华人民共和国行政诉讼法》等基本法律（局法规处、各执法单位）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.《中华人民共和国</w:t>
      </w:r>
      <w:r>
        <w:rPr>
          <w:rFonts w:ascii="仿宋_GB2312" w:eastAsia="仿宋_GB2312" w:hAnsi="仿宋" w:cs="仿宋_GB2312" w:hint="eastAsia"/>
          <w:sz w:val="32"/>
          <w:szCs w:val="32"/>
        </w:rPr>
        <w:t>水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法》（</w:t>
      </w:r>
      <w:r>
        <w:rPr>
          <w:rFonts w:ascii="仿宋_GB2312" w:eastAsia="仿宋_GB2312" w:hAnsi="仿宋" w:cs="仿宋_GB2312" w:hint="eastAsia"/>
          <w:sz w:val="32"/>
          <w:szCs w:val="32"/>
        </w:rPr>
        <w:t>局河长制工作处、水资源处、防御处，局执法总队、水利处、供水处、排水处、安质监站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4.《中华人民共和国环境保护法》（局河长制工作处、水资源处，局执法总队、水利处、排水处）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5.《中华人民共和国防洪法》（局防御处，局执法总队、水利处、堤防处、水文总站）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6.《中华人民共和国水土保持法》《</w:t>
      </w:r>
      <w:hyperlink r:id="rId7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中华人民共和国水土保持法实施条例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》《农田水利条例》（局农村水利处（水土保持处），局执法总队、水利处、水文总站）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7.《中华人民共和国水污染防治法》（局河长制工作处、水资源处，执法总队、水利处、排水处、安质监站）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8.《中华人民共和国海域使用管理法》《中华人民共和国海岛保护法》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《上海市海域使用管理办法》</w:t>
      </w:r>
      <w:r>
        <w:rPr>
          <w:rFonts w:ascii="仿宋_GB2312" w:eastAsia="仿宋_GB2312" w:hAnsi="仿宋" w:cs="仿宋_GB2312" w:hint="eastAsia"/>
          <w:sz w:val="32"/>
          <w:szCs w:val="32"/>
        </w:rPr>
        <w:t>（局海域海岛处，中国海监上海市总队、局行政服务中心、海洋管理事务中心）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9.《</w:t>
      </w:r>
      <w:hyperlink r:id="rId8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中华人民共和国河道管理条例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上海市河道管理条例</w:t>
      </w:r>
      <w:r>
        <w:rPr>
          <w:rFonts w:ascii="仿宋_GB2312" w:eastAsia="仿宋_GB2312" w:hAnsi="仿宋" w:cs="仿宋_GB2312" w:hint="eastAsia"/>
          <w:sz w:val="32"/>
          <w:szCs w:val="32"/>
        </w:rPr>
        <w:t>》（局规划处、河长制工作处，局执法总队、局行政服务中心、水利处）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10.《</w:t>
      </w:r>
      <w:hyperlink r:id="rId9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中华人民共和国防汛条例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上海市防汛条例</w:t>
      </w:r>
      <w:r>
        <w:rPr>
          <w:rFonts w:ascii="仿宋_GB2312" w:eastAsia="仿宋_GB2312" w:hAnsi="仿宋" w:cs="仿宋_GB2312" w:hint="eastAsia"/>
          <w:sz w:val="32"/>
          <w:szCs w:val="32"/>
        </w:rPr>
        <w:t>》（局防御处，局执法总队、水利处、排水处、堤防处、水文总站、安质监站、信息中心、海洋监测预报中心）</w:t>
      </w:r>
    </w:p>
    <w:p w:rsidR="0055604E" w:rsidRDefault="0055604E" w:rsidP="0055604E">
      <w:pPr>
        <w:spacing w:line="560" w:lineRule="exact"/>
        <w:ind w:firstLineChars="200" w:firstLine="640"/>
      </w:pPr>
      <w:r>
        <w:rPr>
          <w:rFonts w:ascii="仿宋_GB2312" w:eastAsia="仿宋_GB2312" w:hAnsi="仿宋" w:cs="仿宋_GB2312" w:hint="eastAsia"/>
          <w:sz w:val="32"/>
          <w:szCs w:val="32"/>
        </w:rPr>
        <w:t>11.《</w:t>
      </w:r>
      <w:hyperlink r:id="rId10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城市供水条例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hyperlink r:id="rId11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城市节约用水管理规定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上海市供水管理条例</w:t>
      </w:r>
      <w:r>
        <w:rPr>
          <w:rFonts w:ascii="仿宋_GB2312" w:eastAsia="仿宋_GB2312" w:hAnsi="仿宋" w:cs="仿宋_GB2312" w:hint="eastAsia"/>
          <w:sz w:val="32"/>
          <w:szCs w:val="32"/>
        </w:rPr>
        <w:t>》《上海市地面沉降防治管理条例》《上海市节约用水管理办法》</w:t>
      </w:r>
      <w:hyperlink r:id="rId12" w:history="1">
        <w:r>
          <w:rPr>
            <w:rFonts w:ascii="仿宋_GB2312" w:eastAsia="仿宋_GB2312" w:hAnsi="仿宋" w:cs="仿宋_GB2312" w:hint="eastAsia"/>
            <w:sz w:val="32"/>
            <w:szCs w:val="32"/>
          </w:rPr>
          <w:t>《</w:t>
        </w:r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上海市深井管理办法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hyperlink r:id="rId13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关于上海市深井管理办法的补充规定</w:t>
        </w:r>
        <w:r>
          <w:rPr>
            <w:rFonts w:ascii="仿宋_GB2312" w:eastAsia="仿宋_GB2312" w:hAnsi="仿宋" w:cs="仿宋_GB2312" w:hint="eastAsia"/>
            <w:sz w:val="32"/>
            <w:szCs w:val="32"/>
          </w:rPr>
          <w:t>》《</w:t>
        </w:r>
        <w:hyperlink r:id="rId14" w:history="1">
          <w:r w:rsidRPr="00D22283">
            <w:rPr>
              <w:rFonts w:ascii="仿宋_GB2312" w:eastAsia="仿宋_GB2312" w:hAnsi="仿宋" w:cs="仿宋_GB2312" w:hint="eastAsia"/>
              <w:sz w:val="32"/>
              <w:szCs w:val="32"/>
            </w:rPr>
            <w:t>上海市原水引水管渠保护办法</w:t>
          </w:r>
        </w:hyperlink>
        <w:r>
          <w:rPr>
            <w:rFonts w:ascii="仿宋_GB2312" w:eastAsia="仿宋_GB2312" w:hAnsi="仿宋" w:cs="仿宋_GB2312" w:hint="eastAsia"/>
            <w:sz w:val="32"/>
            <w:szCs w:val="32"/>
          </w:rPr>
          <w:t>》（局水资源处，局</w:t>
        </w:r>
        <w:r w:rsidRPr="00544D1F">
          <w:rPr>
            <w:rFonts w:ascii="仿宋_GB2312" w:eastAsia="仿宋_GB2312" w:hAnsi="仿宋" w:cs="仿宋_GB2312" w:hint="eastAsia"/>
            <w:sz w:val="32"/>
            <w:szCs w:val="32"/>
          </w:rPr>
          <w:t>执法总队</w:t>
        </w:r>
        <w:r>
          <w:rPr>
            <w:rFonts w:ascii="仿宋_GB2312" w:eastAsia="仿宋_GB2312" w:hAnsi="仿宋" w:cs="仿宋_GB2312" w:hint="eastAsia"/>
            <w:sz w:val="32"/>
            <w:szCs w:val="32"/>
          </w:rPr>
          <w:t>、局行政服务中心、供水处）</w:t>
        </w:r>
        <w:r w:rsidRPr="00D22283">
          <w:rPr>
            <w:rFonts w:ascii="仿宋_GB2312" w:eastAsia="仿宋_GB2312" w:hAnsi="仿宋" w:cs="仿宋_GB2312"/>
            <w:sz w:val="32"/>
            <w:szCs w:val="32"/>
          </w:rPr>
          <w:tab/>
        </w:r>
      </w:hyperlink>
      <w:r>
        <w:rPr>
          <w:rFonts w:hint="eastAsia"/>
        </w:rPr>
        <w:t xml:space="preserve"> 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12.《</w:t>
      </w:r>
      <w:hyperlink r:id="rId15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长江河道采砂管理条例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》（局河长制工作处，局执法总队、安质监站）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13.《</w:t>
      </w:r>
      <w:hyperlink r:id="rId16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取水许可和水资源费征收管理条例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》《取水许可管理办法》</w:t>
      </w:r>
      <w:r w:rsidRPr="004A7EF3">
        <w:rPr>
          <w:rFonts w:ascii="仿宋_GB2312" w:eastAsia="仿宋_GB2312" w:hAnsi="仿宋" w:cs="仿宋_GB2312" w:hint="eastAsia"/>
          <w:sz w:val="32"/>
          <w:szCs w:val="32"/>
        </w:rPr>
        <w:t>《上海市取水许可和水资源费征收管理实施办法》</w:t>
      </w:r>
      <w:r>
        <w:rPr>
          <w:rFonts w:ascii="仿宋_GB2312" w:eastAsia="仿宋_GB2312" w:hAnsi="仿宋" w:cs="仿宋_GB2312" w:hint="eastAsia"/>
          <w:sz w:val="32"/>
          <w:szCs w:val="32"/>
        </w:rPr>
        <w:t>（局计划财务处、水资源处，局执法总队、局行政服务中心、供水处）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14.《</w:t>
      </w:r>
      <w:hyperlink r:id="rId17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中华人民共和国水文条例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hyperlink r:id="rId18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上海市水文管理办法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》（局执法总队、水文总站）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15.《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太湖流域管理条例</w:t>
      </w:r>
      <w:r>
        <w:rPr>
          <w:rFonts w:ascii="仿宋_GB2312" w:eastAsia="仿宋_GB2312" w:hAnsi="仿宋" w:cs="仿宋_GB2312" w:hint="eastAsia"/>
          <w:sz w:val="32"/>
          <w:szCs w:val="32"/>
        </w:rPr>
        <w:t>》（局河长制工作处、防御处，水利处、供水处、排水处、水文总站）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16.《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城镇排水与污水处理条例</w:t>
      </w:r>
      <w:r>
        <w:rPr>
          <w:rFonts w:ascii="仿宋_GB2312" w:eastAsia="仿宋_GB2312" w:hAnsi="仿宋" w:cs="仿宋_GB2312" w:hint="eastAsia"/>
          <w:sz w:val="32"/>
          <w:szCs w:val="32"/>
        </w:rPr>
        <w:t>》《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上海市排水管理条例</w:t>
      </w:r>
      <w:r>
        <w:rPr>
          <w:rFonts w:ascii="仿宋_GB2312" w:eastAsia="仿宋_GB2312" w:hAnsi="仿宋" w:cs="仿宋_GB2312" w:hint="eastAsia"/>
          <w:sz w:val="32"/>
          <w:szCs w:val="32"/>
        </w:rPr>
        <w:t>》《城镇污水排入排水管网许可管理办法》《</w:t>
      </w:r>
      <w:hyperlink r:id="rId19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上海市合流污水治理设施管理办法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》（局河长制工作处，局执法总队、局行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政服务中心、排水处、安质监站）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17.</w:t>
      </w:r>
      <w:r w:rsidRPr="00D22283">
        <w:rPr>
          <w:rFonts w:ascii="仿宋_GB2312" w:eastAsia="仿宋_GB2312" w:hAnsi="仿宋" w:cs="仿宋_GB2312" w:hint="eastAsia"/>
          <w:sz w:val="32"/>
          <w:szCs w:val="32"/>
        </w:rPr>
        <w:t>《铺设海底电缆管道管理规定》</w:t>
      </w:r>
      <w:r>
        <w:rPr>
          <w:rFonts w:ascii="仿宋_GB2312" w:eastAsia="仿宋_GB2312" w:hAnsi="仿宋" w:cs="仿宋_GB2312" w:hint="eastAsia"/>
          <w:sz w:val="32"/>
          <w:szCs w:val="32"/>
        </w:rPr>
        <w:t>（局海域海岛处，中国海监上海市总队、海洋管理事务中心）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18.《海洋观测预报管理条例》（局防御处，局执法总队、海洋管理事务中心、海洋监测预报中心）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19.《上海市水资源管理若干规定》（局河长制工作处、水资源处，局执法总队、局行政服务中心、水利处、供水处、排水处）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20.《</w:t>
      </w:r>
      <w:hyperlink r:id="rId20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上海市滩涂管理条例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》（局设施运行管理处，局执法总队、安质监站）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21.《</w:t>
      </w:r>
      <w:hyperlink r:id="rId21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上海市黄浦江防汛墙保护办法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</w:t>
      </w:r>
      <w:r w:rsidRPr="00890DDC">
        <w:rPr>
          <w:rFonts w:ascii="仿宋_GB2312" w:eastAsia="仿宋_GB2312" w:hAnsi="仿宋" w:cs="仿宋_GB2312" w:hint="eastAsia"/>
          <w:sz w:val="32"/>
          <w:szCs w:val="32"/>
        </w:rPr>
        <w:t>《上海市海塘管理办法》</w:t>
      </w:r>
      <w:r>
        <w:rPr>
          <w:rFonts w:ascii="仿宋_GB2312" w:eastAsia="仿宋_GB2312" w:hAnsi="仿宋" w:cs="仿宋_GB2312" w:hint="eastAsia"/>
          <w:sz w:val="32"/>
          <w:szCs w:val="32"/>
        </w:rPr>
        <w:t>《</w:t>
      </w:r>
      <w:hyperlink r:id="rId22" w:history="1">
        <w:r w:rsidRPr="00D22283">
          <w:rPr>
            <w:rFonts w:ascii="仿宋_GB2312" w:eastAsia="仿宋_GB2312" w:hAnsi="仿宋" w:cs="仿宋_GB2312" w:hint="eastAsia"/>
            <w:sz w:val="32"/>
            <w:szCs w:val="32"/>
          </w:rPr>
          <w:t>上海市水闸管理办法</w:t>
        </w:r>
      </w:hyperlink>
      <w:r>
        <w:rPr>
          <w:rFonts w:ascii="仿宋_GB2312" w:eastAsia="仿宋_GB2312" w:hAnsi="仿宋" w:cs="仿宋_GB2312" w:hint="eastAsia"/>
          <w:sz w:val="32"/>
          <w:szCs w:val="32"/>
        </w:rPr>
        <w:t>》（局设施运行管理处、防御处，局执法总队、水利处、堤防处）</w:t>
      </w:r>
    </w:p>
    <w:p w:rsidR="0055604E" w:rsidRDefault="0055604E" w:rsidP="0055604E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AB354B">
        <w:rPr>
          <w:rFonts w:ascii="黑体" w:eastAsia="黑体" w:hAnsi="仿宋" w:cs="仿宋_GB2312" w:hint="eastAsia"/>
          <w:sz w:val="32"/>
          <w:szCs w:val="32"/>
        </w:rPr>
        <w:t>二、</w:t>
      </w:r>
      <w:r w:rsidRPr="00AB354B">
        <w:rPr>
          <w:rFonts w:ascii="黑体" w:eastAsia="黑体" w:hAnsi="黑体" w:cs="黑体" w:hint="eastAsia"/>
          <w:bCs/>
          <w:sz w:val="32"/>
          <w:szCs w:val="32"/>
        </w:rPr>
        <w:t>项目清单</w:t>
      </w:r>
    </w:p>
    <w:p w:rsidR="0055604E" w:rsidRDefault="0055604E" w:rsidP="0055604E">
      <w:pPr>
        <w:numPr>
          <w:ilvl w:val="0"/>
          <w:numId w:val="1"/>
        </w:numPr>
        <w:spacing w:line="560" w:lineRule="exact"/>
        <w:ind w:firstLine="640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加强系统内法治教育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BC54AE">
        <w:rPr>
          <w:rFonts w:ascii="仿宋_GB2312" w:eastAsia="仿宋_GB2312" w:hAnsi="仿宋" w:cs="仿宋_GB2312" w:hint="eastAsia"/>
          <w:sz w:val="32"/>
          <w:szCs w:val="32"/>
        </w:rPr>
        <w:t>建立健全党委（党组）中心组集体学法制度，定期组织领导干部开展法律</w:t>
      </w:r>
      <w:r>
        <w:rPr>
          <w:rFonts w:ascii="仿宋_GB2312" w:eastAsia="仿宋_GB2312" w:hAnsi="仿宋" w:cs="仿宋_GB2312" w:hint="eastAsia"/>
          <w:sz w:val="32"/>
          <w:szCs w:val="32"/>
        </w:rPr>
        <w:t>法规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专题培训，组织各级领导干部旁听行政诉讼案件庭审，提高领导干部运用法治思维和法治方式能力。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  <w:lang w:val="zh-CN"/>
        </w:rPr>
      </w:pPr>
      <w:r w:rsidRPr="00BC54AE">
        <w:rPr>
          <w:rFonts w:ascii="仿宋_GB2312" w:eastAsia="仿宋_GB2312" w:hAnsi="仿宋" w:cs="仿宋_GB2312" w:hint="eastAsia"/>
          <w:sz w:val="32"/>
          <w:szCs w:val="32"/>
        </w:rPr>
        <w:t>加强</w:t>
      </w:r>
      <w:r>
        <w:rPr>
          <w:rFonts w:ascii="仿宋_GB2312" w:eastAsia="仿宋_GB2312" w:hAnsi="仿宋" w:cs="仿宋_GB2312" w:hint="eastAsia"/>
          <w:sz w:val="32"/>
          <w:szCs w:val="32"/>
        </w:rPr>
        <w:t>局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系统全体工作人员的法治教育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将宪法法律纳入系统教育培训中长期规划和年度计划，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作为</w:t>
      </w:r>
      <w:r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水务（海洋）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行政管理工作者入职培训、晋职（级）培训、在职培训的必训内容，全面提升</w:t>
      </w:r>
      <w:r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水务（海洋）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行政管理工作者的法治素养。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  <w:lang w:val="zh-CN"/>
        </w:rPr>
      </w:pP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深入持续加强党章党规党纪教育，将党内法规教育纳入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lastRenderedPageBreak/>
        <w:t>党支部学习重要内容，纳入基层党建考核内容，不断提升全面从严治党实效。</w:t>
      </w:r>
    </w:p>
    <w:p w:rsidR="0055604E" w:rsidRDefault="0055604E" w:rsidP="0055604E">
      <w:pPr>
        <w:numPr>
          <w:ilvl w:val="0"/>
          <w:numId w:val="1"/>
        </w:numPr>
        <w:spacing w:line="560" w:lineRule="exact"/>
        <w:ind w:firstLine="640"/>
        <w:rPr>
          <w:rFonts w:ascii="楷体_GB2312" w:eastAsia="楷体_GB2312" w:hAnsi="仿宋" w:cs="仿宋_GB2312"/>
          <w:b/>
          <w:bCs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把普法融入制度建设过程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  <w:lang w:val="zh-CN"/>
        </w:rPr>
      </w:pP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健全公开征求意见和政策解读机制，除依法不宜公开的外，规范性文件草案要通过门户网站、微博、微信等多种渠道，向社会公开征求意见，并及时通报情况；发布规范性文件时，要将政策解读作为必经程序。</w:t>
      </w:r>
    </w:p>
    <w:p w:rsidR="0055604E" w:rsidRDefault="0055604E" w:rsidP="0055604E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0"/>
          <w:szCs w:val="30"/>
        </w:rPr>
      </w:pP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及时宣传解读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新修订、新出台的</w:t>
      </w:r>
      <w:r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涉水涉海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的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法律法规规章，以通俗易懂的语言将公民、法人和其他组织的权利义务、权利救济方式等内容讲清讲透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。</w:t>
      </w:r>
    </w:p>
    <w:p w:rsidR="0055604E" w:rsidRDefault="0055604E" w:rsidP="00C24311">
      <w:pPr>
        <w:spacing w:line="560" w:lineRule="exact"/>
        <w:ind w:firstLineChars="200" w:firstLine="640"/>
        <w:jc w:val="left"/>
        <w:rPr>
          <w:rFonts w:ascii="楷体_GB2312" w:eastAsia="楷体_GB2312" w:hAnsi="仿宋" w:cs="Times New Roman"/>
          <w:b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kern w:val="0"/>
          <w:sz w:val="32"/>
          <w:szCs w:val="32"/>
          <w:lang w:val="zh-CN"/>
        </w:rPr>
        <w:t>（三）把普法融入中心工作开展全过程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加强和创新水务（海洋）管理和公共服务工作中，紧密结合水务（海洋）法治宣传教育，传播法治精神，做到法治宣传与法治实践相辅相成相得益彰。在执法实践中广泛开展以案释法和警示教育，积极回应公众关心的涉水涉海热点问题，形成行政执法、纠纷调解和法律服务的过程是向群众弘扬法治精神的过程。配合做好市法宣办、市建设交通法宣办、水利部、自然资源部普法、执法案例编辑工作。</w:t>
      </w:r>
    </w:p>
    <w:p w:rsidR="0055604E" w:rsidRDefault="0055604E" w:rsidP="00C24311">
      <w:pPr>
        <w:spacing w:line="560" w:lineRule="exact"/>
        <w:ind w:firstLineChars="196" w:firstLine="628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（四）组织开展法治宣传教育活动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持续开展水务（海洋）法治集中宣传活动。充分利用世界水日、中国水周、节水宣传周、世界海洋日和国家宪法日、</w:t>
      </w:r>
      <w:r w:rsidRPr="00BC54AE">
        <w:rPr>
          <w:rFonts w:ascii="仿宋_GB2312" w:eastAsia="仿宋_GB2312" w:hAnsi="仿宋" w:cs="仿宋_GB2312" w:hint="eastAsia"/>
          <w:kern w:val="0"/>
          <w:sz w:val="32"/>
          <w:szCs w:val="32"/>
          <w:lang w:val="zh-CN"/>
        </w:rPr>
        <w:t>上海市宪法宣传周</w:t>
      </w:r>
      <w:r>
        <w:rPr>
          <w:rFonts w:ascii="仿宋_GB2312" w:eastAsia="仿宋_GB2312" w:hint="eastAsia"/>
          <w:sz w:val="32"/>
          <w:szCs w:val="32"/>
        </w:rPr>
        <w:t>等重要节点，结合实际、突出重点、精心策划、丰富内容，大力开展水务、海洋法治宣传教育，提高宣传教育实效。</w:t>
      </w:r>
    </w:p>
    <w:p w:rsidR="0055604E" w:rsidRDefault="0055604E" w:rsidP="00C24311">
      <w:pPr>
        <w:spacing w:line="560" w:lineRule="exact"/>
        <w:ind w:firstLineChars="196" w:firstLine="628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lastRenderedPageBreak/>
        <w:t>（五）加强水务</w:t>
      </w: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（</w:t>
      </w: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海洋</w:t>
      </w: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）普法阵地</w:t>
      </w: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建设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  <w:lang w:val="zh-CN"/>
        </w:rPr>
      </w:pPr>
      <w:r w:rsidRPr="00CF5697">
        <w:rPr>
          <w:rFonts w:ascii="仿宋_GB2312" w:eastAsia="仿宋_GB2312" w:hint="eastAsia"/>
          <w:sz w:val="32"/>
          <w:szCs w:val="32"/>
        </w:rPr>
        <w:t>加强微信、微博、微视频等新媒体新技术在水务</w:t>
      </w:r>
      <w:r>
        <w:rPr>
          <w:rFonts w:ascii="仿宋_GB2312" w:eastAsia="仿宋_GB2312" w:hint="eastAsia"/>
          <w:sz w:val="32"/>
          <w:szCs w:val="32"/>
        </w:rPr>
        <w:t>（</w:t>
      </w:r>
      <w:r w:rsidRPr="00CF5697">
        <w:rPr>
          <w:rFonts w:ascii="仿宋_GB2312" w:eastAsia="仿宋_GB2312" w:hint="eastAsia"/>
          <w:sz w:val="32"/>
          <w:szCs w:val="32"/>
        </w:rPr>
        <w:t>海洋</w:t>
      </w:r>
      <w:r>
        <w:rPr>
          <w:rFonts w:ascii="仿宋_GB2312" w:eastAsia="仿宋_GB2312" w:hint="eastAsia"/>
          <w:sz w:val="32"/>
          <w:szCs w:val="32"/>
        </w:rPr>
        <w:t>）</w:t>
      </w:r>
      <w:r w:rsidRPr="00CF5697">
        <w:rPr>
          <w:rFonts w:ascii="仿宋_GB2312" w:eastAsia="仿宋_GB2312" w:hint="eastAsia"/>
          <w:sz w:val="32"/>
          <w:szCs w:val="32"/>
        </w:rPr>
        <w:t>普法中的运用，充分发挥“上海水务海洋”和各行业、各区微信公众号在水务</w:t>
      </w:r>
      <w:r>
        <w:rPr>
          <w:rFonts w:ascii="仿宋_GB2312" w:eastAsia="仿宋_GB2312" w:hint="eastAsia"/>
          <w:sz w:val="32"/>
          <w:szCs w:val="32"/>
        </w:rPr>
        <w:t>（</w:t>
      </w:r>
      <w:r w:rsidRPr="00CF5697">
        <w:rPr>
          <w:rFonts w:ascii="仿宋_GB2312" w:eastAsia="仿宋_GB2312" w:hint="eastAsia"/>
          <w:sz w:val="32"/>
          <w:szCs w:val="32"/>
        </w:rPr>
        <w:t>海洋</w:t>
      </w:r>
      <w:r>
        <w:rPr>
          <w:rFonts w:ascii="仿宋_GB2312" w:eastAsia="仿宋_GB2312" w:hint="eastAsia"/>
          <w:sz w:val="32"/>
          <w:szCs w:val="32"/>
        </w:rPr>
        <w:t>）</w:t>
      </w:r>
      <w:r w:rsidRPr="00CF5697">
        <w:rPr>
          <w:rFonts w:ascii="仿宋_GB2312" w:eastAsia="仿宋_GB2312" w:hint="eastAsia"/>
          <w:sz w:val="32"/>
          <w:szCs w:val="32"/>
        </w:rPr>
        <w:t>普法中的示范带头作用，探索运用本市公益宣传阵地中的移动电视、电子显示屏等开展水务</w:t>
      </w:r>
      <w:r>
        <w:rPr>
          <w:rFonts w:ascii="仿宋_GB2312" w:eastAsia="仿宋_GB2312" w:hint="eastAsia"/>
          <w:sz w:val="32"/>
          <w:szCs w:val="32"/>
        </w:rPr>
        <w:t>(</w:t>
      </w:r>
      <w:r w:rsidRPr="00CF5697">
        <w:rPr>
          <w:rFonts w:ascii="仿宋_GB2312" w:eastAsia="仿宋_GB2312" w:hint="eastAsia"/>
          <w:sz w:val="32"/>
          <w:szCs w:val="32"/>
        </w:rPr>
        <w:t>海洋</w:t>
      </w:r>
      <w:r>
        <w:rPr>
          <w:rFonts w:ascii="仿宋_GB2312" w:eastAsia="仿宋_GB2312" w:hint="eastAsia"/>
          <w:sz w:val="32"/>
          <w:szCs w:val="32"/>
        </w:rPr>
        <w:t>)</w:t>
      </w:r>
      <w:r w:rsidRPr="00CF5697">
        <w:rPr>
          <w:rFonts w:ascii="仿宋_GB2312" w:eastAsia="仿宋_GB2312" w:hint="eastAsia"/>
          <w:sz w:val="32"/>
          <w:szCs w:val="32"/>
        </w:rPr>
        <w:t>普法工作。</w:t>
      </w:r>
    </w:p>
    <w:p w:rsidR="0055604E" w:rsidRDefault="0055604E" w:rsidP="00C24311">
      <w:pPr>
        <w:spacing w:line="560" w:lineRule="exact"/>
        <w:ind w:firstLineChars="196" w:firstLine="628"/>
        <w:rPr>
          <w:rFonts w:ascii="楷体_GB2312" w:eastAsia="楷体_GB2312" w:hAnsi="仿宋" w:cs="Times New Roman"/>
          <w:b/>
          <w:bCs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（六）加强考核评估</w:t>
      </w:r>
    </w:p>
    <w:p w:rsidR="0055604E" w:rsidRDefault="0055604E" w:rsidP="0055604E">
      <w:pPr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BC54AE">
        <w:rPr>
          <w:rFonts w:ascii="仿宋_GB2312" w:eastAsia="仿宋_GB2312" w:hAnsi="仿宋" w:cs="仿宋_GB2312" w:hint="eastAsia"/>
          <w:kern w:val="0"/>
          <w:sz w:val="32"/>
          <w:szCs w:val="32"/>
        </w:rPr>
        <w:t>加强本系统普法责任制履行情况的考核评估，将普法工作开展情况纳入工作目标考核和领导干部政绩考核，根据有关规定，表彰奖励或通报表扬普法工作成效显著的部门和个人，通报批评普法责任不落实的部门和个人。</w:t>
      </w:r>
    </w:p>
    <w:p w:rsidR="0055604E" w:rsidRDefault="0055604E" w:rsidP="00C24311">
      <w:pPr>
        <w:spacing w:line="560" w:lineRule="exact"/>
        <w:ind w:firstLineChars="196" w:firstLine="628"/>
        <w:rPr>
          <w:rFonts w:ascii="楷体_GB2312" w:eastAsia="楷体_GB2312" w:hAnsi="仿宋" w:cs="仿宋_GB2312"/>
          <w:b/>
          <w:bCs/>
          <w:sz w:val="32"/>
          <w:szCs w:val="32"/>
        </w:rPr>
      </w:pPr>
      <w:r w:rsidRPr="002B508B">
        <w:rPr>
          <w:rFonts w:ascii="楷体_GB2312" w:eastAsia="楷体_GB2312" w:hAnsi="仿宋" w:cs="仿宋_GB2312" w:hint="eastAsia"/>
          <w:b/>
          <w:bCs/>
          <w:sz w:val="32"/>
          <w:szCs w:val="32"/>
        </w:rPr>
        <w:t>（七）加强组织领导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54AE">
        <w:rPr>
          <w:rFonts w:ascii="仿宋_GB2312" w:eastAsia="仿宋_GB2312" w:hAnsi="仿宋" w:cs="仿宋_GB2312" w:hint="eastAsia"/>
          <w:sz w:val="32"/>
          <w:szCs w:val="32"/>
        </w:rPr>
        <w:t>将普法工作纳入</w:t>
      </w:r>
      <w:r>
        <w:rPr>
          <w:rFonts w:ascii="仿宋_GB2312" w:eastAsia="仿宋_GB2312" w:hAnsi="仿宋" w:cs="仿宋_GB2312" w:hint="eastAsia"/>
          <w:sz w:val="32"/>
          <w:szCs w:val="32"/>
        </w:rPr>
        <w:t>局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系统工作总体布局，建立健全普法领导和工作机构，明确分管领导、具体责任部门和责任人员，确定专人负责日常工作。</w:t>
      </w:r>
    </w:p>
    <w:p w:rsidR="0055604E" w:rsidRDefault="0055604E" w:rsidP="0055604E">
      <w:pPr>
        <w:spacing w:line="560" w:lineRule="exact"/>
        <w:ind w:firstLineChars="200" w:firstLine="640"/>
        <w:rPr>
          <w:rFonts w:ascii="黑体" w:eastAsia="黑体" w:hAnsi="仿宋" w:cs="仿宋_GB2312"/>
          <w:sz w:val="32"/>
          <w:szCs w:val="32"/>
        </w:rPr>
      </w:pPr>
      <w:r>
        <w:rPr>
          <w:rFonts w:ascii="黑体" w:eastAsia="黑体" w:hAnsi="仿宋" w:cs="仿宋_GB2312" w:hint="eastAsia"/>
          <w:sz w:val="32"/>
          <w:szCs w:val="32"/>
        </w:rPr>
        <w:t>三、</w:t>
      </w:r>
      <w:r w:rsidRPr="00AB354B">
        <w:rPr>
          <w:rFonts w:ascii="黑体" w:eastAsia="黑体" w:hAnsi="仿宋" w:cs="仿宋_GB2312" w:hint="eastAsia"/>
          <w:sz w:val="32"/>
          <w:szCs w:val="32"/>
        </w:rPr>
        <w:t>重点普法对象</w:t>
      </w:r>
    </w:p>
    <w:p w:rsidR="0055604E" w:rsidRDefault="0055604E" w:rsidP="0055604E">
      <w:pPr>
        <w:numPr>
          <w:ilvl w:val="0"/>
          <w:numId w:val="2"/>
        </w:numPr>
        <w:spacing w:line="560" w:lineRule="exact"/>
        <w:ind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市水务局(市海洋局)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系统各级领导干部、</w:t>
      </w:r>
      <w:r>
        <w:rPr>
          <w:rFonts w:ascii="仿宋_GB2312" w:eastAsia="仿宋_GB2312" w:hAnsi="仿宋" w:cs="仿宋_GB2312" w:hint="eastAsia"/>
          <w:sz w:val="32"/>
          <w:szCs w:val="32"/>
        </w:rPr>
        <w:t>新进人员、</w:t>
      </w:r>
      <w:r w:rsidRPr="00BC54AE">
        <w:rPr>
          <w:rFonts w:ascii="仿宋_GB2312" w:eastAsia="仿宋_GB2312" w:hAnsi="仿宋" w:cs="仿宋_GB2312" w:hint="eastAsia"/>
          <w:sz w:val="32"/>
          <w:szCs w:val="32"/>
        </w:rPr>
        <w:t>执法人员。</w:t>
      </w:r>
    </w:p>
    <w:p w:rsidR="0055604E" w:rsidRDefault="0055604E" w:rsidP="0055604E">
      <w:pPr>
        <w:spacing w:line="560" w:lineRule="exact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 w:rsidRPr="00BC54AE">
        <w:rPr>
          <w:rFonts w:ascii="仿宋_GB2312" w:eastAsia="仿宋_GB2312" w:hAnsi="仿宋" w:cs="仿宋_GB2312" w:hint="eastAsia"/>
          <w:sz w:val="32"/>
          <w:szCs w:val="32"/>
        </w:rPr>
        <w:t>（二）</w:t>
      </w:r>
      <w:r>
        <w:rPr>
          <w:rFonts w:ascii="仿宋_GB2312" w:eastAsia="仿宋_GB2312" w:hAnsi="仿宋" w:cs="仿宋_GB2312" w:hint="eastAsia"/>
          <w:sz w:val="32"/>
          <w:szCs w:val="32"/>
        </w:rPr>
        <w:t>涉水涉海执法相对人、许可申请用户和需要在工作生活中运用到水务(海洋)专业法的社会公众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90B2B" w:rsidRPr="0055604E" w:rsidRDefault="00590B2B" w:rsidP="00F218AE">
      <w:pPr>
        <w:ind w:firstLine="420"/>
      </w:pPr>
    </w:p>
    <w:sectPr w:rsidR="00590B2B" w:rsidRPr="0055604E" w:rsidSect="008F39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C0" w:rsidRDefault="00B303C0" w:rsidP="00254204">
      <w:r>
        <w:separator/>
      </w:r>
    </w:p>
  </w:endnote>
  <w:endnote w:type="continuationSeparator" w:id="0">
    <w:p w:rsidR="00B303C0" w:rsidRDefault="00B303C0" w:rsidP="0025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1" w:rsidRDefault="00C243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18079"/>
      <w:docPartObj>
        <w:docPartGallery w:val="Page Numbers (Bottom of Page)"/>
        <w:docPartUnique/>
      </w:docPartObj>
    </w:sdtPr>
    <w:sdtContent>
      <w:p w:rsidR="00AB354B" w:rsidRDefault="00254204" w:rsidP="00AB354B">
        <w:pPr>
          <w:pStyle w:val="a3"/>
          <w:jc w:val="center"/>
        </w:pPr>
        <w:r>
          <w:fldChar w:fldCharType="begin"/>
        </w:r>
        <w:r w:rsidR="0055604E">
          <w:instrText xml:space="preserve"> PAGE   \* MERGEFORMAT </w:instrText>
        </w:r>
        <w:r>
          <w:fldChar w:fldCharType="separate"/>
        </w:r>
        <w:r w:rsidR="00C24311" w:rsidRPr="00C24311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1" w:rsidRDefault="00C243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C0" w:rsidRDefault="00B303C0" w:rsidP="00254204">
      <w:r>
        <w:separator/>
      </w:r>
    </w:p>
  </w:footnote>
  <w:footnote w:type="continuationSeparator" w:id="0">
    <w:p w:rsidR="00B303C0" w:rsidRDefault="00B303C0" w:rsidP="00254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1" w:rsidRDefault="00C243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1" w:rsidRDefault="00C243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11" w:rsidRDefault="00C243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20C77D"/>
    <w:multiLevelType w:val="singleLevel"/>
    <w:tmpl w:val="FF20C7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B489DF"/>
    <w:multiLevelType w:val="singleLevel"/>
    <w:tmpl w:val="51B489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04E"/>
    <w:rsid w:val="000B080A"/>
    <w:rsid w:val="00254204"/>
    <w:rsid w:val="00551AFC"/>
    <w:rsid w:val="0055604E"/>
    <w:rsid w:val="00590B2B"/>
    <w:rsid w:val="00843E48"/>
    <w:rsid w:val="00B303C0"/>
    <w:rsid w:val="00C24311"/>
    <w:rsid w:val="00C75981"/>
    <w:rsid w:val="00F079CF"/>
    <w:rsid w:val="00F2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4E"/>
    <w:pPr>
      <w:widowControl w:val="0"/>
      <w:spacing w:line="240" w:lineRule="auto"/>
      <w:ind w:firstLineChars="0" w:firstLine="0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5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604E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4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431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or\Local%20Settings\Temporary%20Internet%20Files\user\&#26700;&#38754;\l" TargetMode="External"/><Relationship Id="rId13" Type="http://schemas.openxmlformats.org/officeDocument/2006/relationships/hyperlink" Target="file:///D:\user\&#26700;&#38754;\l" TargetMode="External"/><Relationship Id="rId18" Type="http://schemas.openxmlformats.org/officeDocument/2006/relationships/hyperlink" Target="file:///C:\Documents%20and%20Settings\Administrator\Local%20Settings\Temporary%20Internet%20Files\user\&#26700;&#38754;\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Administrator\Local%20Settings\Temporary%20Internet%20Files\user\&#26700;&#38754;\l" TargetMode="External"/><Relationship Id="rId7" Type="http://schemas.openxmlformats.org/officeDocument/2006/relationships/hyperlink" Target="file:///C:\Documents%20and%20Settings\Administrator\Local%20Settings\Temporary%20Internet%20Files\user\&#26700;&#38754;\l" TargetMode="External"/><Relationship Id="rId12" Type="http://schemas.openxmlformats.org/officeDocument/2006/relationships/hyperlink" Target="file:///D:\user\&#26700;&#38754;\l" TargetMode="External"/><Relationship Id="rId17" Type="http://schemas.openxmlformats.org/officeDocument/2006/relationships/hyperlink" Target="file:///C:\Documents%20and%20Settings\Administrator\Local%20Settings\Temporary%20Internet%20Files\user\&#26700;&#38754;\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istrator\Local%20Settings\Temporary%20Internet%20Files\user\&#26700;&#38754;\l" TargetMode="External"/><Relationship Id="rId20" Type="http://schemas.openxmlformats.org/officeDocument/2006/relationships/hyperlink" Target="file:///D:\user\&#26700;&#38754;\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\&#26700;&#38754;\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D:\user\&#26700;&#38754;\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file:///D:\user\&#26700;&#38754;\l" TargetMode="External"/><Relationship Id="rId19" Type="http://schemas.openxmlformats.org/officeDocument/2006/relationships/hyperlink" Target="file:///D:\user\&#26700;&#38754;\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istrator\Local%20Settings\Temporary%20Internet%20Files\user\&#26700;&#38754;\l" TargetMode="External"/><Relationship Id="rId14" Type="http://schemas.openxmlformats.org/officeDocument/2006/relationships/hyperlink" Target="file:///C:\Documents%20and%20Settings\Administrator\Local%20Settings\Temporary%20Internet%20Files\user\&#26700;&#38754;\l" TargetMode="External"/><Relationship Id="rId22" Type="http://schemas.openxmlformats.org/officeDocument/2006/relationships/hyperlink" Target="file:///C:\Documents%20and%20Settings\Administrator\Local%20Settings\Temporary%20Internet%20Files\user\&#26700;&#38754;\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3319</Characters>
  <Application>Microsoft Office Word</Application>
  <DocSecurity>0</DocSecurity>
  <Lines>27</Lines>
  <Paragraphs>7</Paragraphs>
  <ScaleCrop>false</ScaleCrop>
  <Company>shswj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shswj</dc:creator>
  <cp:lastModifiedBy>user</cp:lastModifiedBy>
  <cp:revision>2</cp:revision>
  <dcterms:created xsi:type="dcterms:W3CDTF">2019-05-16T06:37:00Z</dcterms:created>
  <dcterms:modified xsi:type="dcterms:W3CDTF">2019-05-16T06:37:00Z</dcterms:modified>
</cp:coreProperties>
</file>