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5C" w:rsidRDefault="00571D68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上海</w:t>
      </w:r>
      <w:r w:rsidR="00066FA7">
        <w:rPr>
          <w:rFonts w:ascii="黑体" w:eastAsia="黑体" w:hAnsi="黑体" w:cs="黑体" w:hint="eastAsia"/>
          <w:sz w:val="36"/>
          <w:szCs w:val="36"/>
        </w:rPr>
        <w:t>金融办</w:t>
      </w:r>
      <w:r>
        <w:rPr>
          <w:rFonts w:ascii="黑体" w:eastAsia="黑体" w:hAnsi="黑体" w:cs="黑体" w:hint="eastAsia"/>
          <w:sz w:val="36"/>
          <w:szCs w:val="36"/>
        </w:rPr>
        <w:t>“谁执法谁普法”普法责任清单</w:t>
      </w:r>
    </w:p>
    <w:p w:rsidR="00E2275C" w:rsidRDefault="00E2275C">
      <w:pPr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bookmarkEnd w:id="0"/>
    </w:p>
    <w:p w:rsidR="00E2275C" w:rsidRPr="00CC6BF6" w:rsidRDefault="00571D68" w:rsidP="00CC6BF6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CC6BF6">
        <w:rPr>
          <w:rFonts w:ascii="黑体" w:eastAsia="黑体" w:hAnsi="黑体" w:cs="黑体" w:hint="eastAsia"/>
          <w:bCs/>
          <w:sz w:val="32"/>
          <w:szCs w:val="32"/>
        </w:rPr>
        <w:t>一、重点宣传普及的法律法规规章规范性文件清单及责任部门</w:t>
      </w:r>
    </w:p>
    <w:p w:rsidR="00E2275C" w:rsidRDefault="00571D68">
      <w:p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B061B5">
        <w:rPr>
          <w:rFonts w:ascii="仿宋_GB2312" w:eastAsia="仿宋_GB2312" w:hAnsi="仿宋_GB2312" w:cs="仿宋_GB2312" w:hint="eastAsia"/>
          <w:sz w:val="32"/>
          <w:szCs w:val="32"/>
        </w:rPr>
        <w:t>、《中华人民共和国宪法》（市金融办、各区小</w:t>
      </w:r>
      <w:r w:rsidR="00236129">
        <w:rPr>
          <w:rFonts w:ascii="仿宋_GB2312" w:eastAsia="仿宋_GB2312" w:hAnsi="仿宋_GB2312" w:cs="仿宋_GB2312" w:hint="eastAsia"/>
          <w:sz w:val="32"/>
          <w:szCs w:val="32"/>
        </w:rPr>
        <w:t>额贷款</w:t>
      </w:r>
      <w:r w:rsidR="00B061B5">
        <w:rPr>
          <w:rFonts w:ascii="仿宋_GB2312" w:eastAsia="仿宋_GB2312" w:hAnsi="仿宋_GB2312" w:cs="仿宋_GB2312" w:hint="eastAsia"/>
          <w:sz w:val="32"/>
          <w:szCs w:val="32"/>
        </w:rPr>
        <w:t>公司和融资担保公司主管部门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54F4D" w:rsidRDefault="00571D68" w:rsidP="00654F4D">
      <w:pPr>
        <w:pStyle w:val="1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kern w:val="2"/>
          <w:sz w:val="32"/>
          <w:szCs w:val="32"/>
        </w:rPr>
        <w:t>2</w:t>
      </w:r>
      <w:r w:rsidR="00236129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.</w:t>
      </w:r>
      <w:r w:rsidR="00B061B5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《上海市小额贷款公司监管办法》（沪府办发</w:t>
      </w:r>
      <w:r w:rsidR="00B061B5" w:rsidRPr="007E0477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〔</w:t>
      </w:r>
      <w:r w:rsidR="007E0477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2016</w:t>
      </w:r>
      <w:r w:rsidR="00B061B5" w:rsidRPr="007E0477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〕</w:t>
      </w:r>
      <w:r w:rsidR="007E0477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 xml:space="preserve"> </w:t>
      </w:r>
      <w:r w:rsidR="00B061B5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42号）（</w:t>
      </w:r>
      <w:r w:rsidR="00236129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市金融办、各区小额贷款</w:t>
      </w:r>
      <w:r w:rsidR="00B061B5" w:rsidRPr="00B061B5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公司和融资担保公司主管部门</w:t>
      </w:r>
      <w:r w:rsidR="00B061B5">
        <w:rPr>
          <w:rFonts w:ascii="仿宋_GB2312" w:eastAsia="仿宋_GB2312" w:hAnsi="仿宋_GB2312" w:cs="仿宋_GB2312" w:hint="eastAsia"/>
          <w:b w:val="0"/>
          <w:bCs w:val="0"/>
          <w:kern w:val="2"/>
          <w:sz w:val="32"/>
          <w:szCs w:val="32"/>
        </w:rPr>
        <w:t>）</w:t>
      </w:r>
    </w:p>
    <w:p w:rsidR="007E0477" w:rsidRDefault="007E0477" w:rsidP="007E04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047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3612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D64CE">
        <w:rPr>
          <w:rFonts w:ascii="仿宋_GB2312" w:eastAsia="仿宋_GB2312" w:hAnsi="仿宋_GB2312" w:cs="仿宋_GB2312" w:hint="eastAsia"/>
          <w:sz w:val="32"/>
          <w:szCs w:val="32"/>
        </w:rPr>
        <w:t>《融资担保公司监督管理条例》（国务院令第683</w:t>
      </w:r>
      <w:r w:rsidR="00236129">
        <w:rPr>
          <w:rFonts w:ascii="仿宋_GB2312" w:eastAsia="仿宋_GB2312" w:hAnsi="仿宋_GB2312" w:cs="仿宋_GB2312" w:hint="eastAsia"/>
          <w:sz w:val="32"/>
          <w:szCs w:val="32"/>
        </w:rPr>
        <w:t>号）及四项配套制度(《融资担保业务经营许可证管理办法》、《融资担保责任余额计量办法》、《</w:t>
      </w:r>
      <w:r w:rsidR="00ED64CE">
        <w:rPr>
          <w:rFonts w:ascii="仿宋_GB2312" w:eastAsia="仿宋_GB2312" w:hAnsi="仿宋_GB2312" w:cs="仿宋_GB2312" w:hint="eastAsia"/>
          <w:sz w:val="32"/>
          <w:szCs w:val="32"/>
        </w:rPr>
        <w:t>融资担保公司资产比例管理办法》、《银行业金融机构与融资担保公司业务合作指引》</w:t>
      </w:r>
      <w:r w:rsidR="00236129"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="00ED64CE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D64CE" w:rsidRPr="00ED64CE">
        <w:rPr>
          <w:rFonts w:ascii="仿宋_GB2312" w:eastAsia="仿宋_GB2312" w:hAnsi="仿宋_GB2312" w:cs="仿宋_GB2312" w:hint="eastAsia"/>
          <w:sz w:val="32"/>
          <w:szCs w:val="32"/>
        </w:rPr>
        <w:t>市金融办、各区</w:t>
      </w:r>
      <w:r w:rsidR="00236129">
        <w:rPr>
          <w:rFonts w:ascii="仿宋_GB2312" w:eastAsia="仿宋_GB2312" w:hAnsi="仿宋_GB2312" w:cs="仿宋_GB2312" w:hint="eastAsia"/>
          <w:sz w:val="32"/>
          <w:szCs w:val="32"/>
        </w:rPr>
        <w:t>小额贷款</w:t>
      </w:r>
      <w:r w:rsidR="00ED64CE" w:rsidRPr="00ED64CE">
        <w:rPr>
          <w:rFonts w:ascii="仿宋_GB2312" w:eastAsia="仿宋_GB2312" w:hAnsi="仿宋_GB2312" w:cs="仿宋_GB2312" w:hint="eastAsia"/>
          <w:sz w:val="32"/>
          <w:szCs w:val="32"/>
        </w:rPr>
        <w:t>公司和融资担保公司主管部门</w:t>
      </w:r>
      <w:r w:rsidR="00ED64CE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2275C" w:rsidRDefault="00654F4D" w:rsidP="00654F4D">
      <w:pPr>
        <w:pStyle w:val="1"/>
        <w:widowControl/>
        <w:shd w:val="clear" w:color="auto" w:fill="FFFFFF"/>
        <w:spacing w:beforeAutospacing="0" w:afterAutospacing="0"/>
        <w:ind w:firstLineChars="200" w:firstLine="640"/>
        <w:rPr>
          <w:rFonts w:ascii="黑体" w:eastAsia="黑体" w:hAnsi="黑体" w:cs="Times New Roman"/>
          <w:b w:val="0"/>
          <w:bCs w:val="0"/>
          <w:sz w:val="32"/>
          <w:szCs w:val="32"/>
        </w:rPr>
      </w:pPr>
      <w:r w:rsidRPr="00CC6BF6">
        <w:rPr>
          <w:rFonts w:ascii="黑体" w:eastAsia="黑体" w:hAnsi="黑体" w:cs="仿宋_GB2312" w:hint="eastAsia"/>
          <w:b w:val="0"/>
          <w:bCs w:val="0"/>
          <w:kern w:val="2"/>
          <w:sz w:val="32"/>
          <w:szCs w:val="32"/>
        </w:rPr>
        <w:t>二、</w:t>
      </w:r>
      <w:r w:rsidR="00571D68">
        <w:rPr>
          <w:rFonts w:ascii="黑体" w:eastAsia="黑体" w:hAnsi="黑体" w:cs="黑体" w:hint="eastAsia"/>
          <w:sz w:val="32"/>
          <w:szCs w:val="32"/>
        </w:rPr>
        <w:t>项目清单</w:t>
      </w:r>
    </w:p>
    <w:p w:rsidR="00E2275C" w:rsidRDefault="00571D68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</w:t>
      </w:r>
      <w:r w:rsidR="00323D7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</w:t>
      </w:r>
      <w:r w:rsidR="004B04B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区两级主管部门和监管人员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法治教育</w:t>
      </w:r>
    </w:p>
    <w:p w:rsidR="00E2275C" w:rsidRDefault="00571D68">
      <w:pPr>
        <w:ind w:firstLine="640"/>
        <w:rPr>
          <w:rFonts w:ascii="仿宋_GB2312" w:eastAsia="仿宋_GB2312" w:cs="Times New Roman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 w:rsidR="004B04B2">
        <w:rPr>
          <w:rFonts w:ascii="仿宋_GB2312" w:eastAsia="仿宋_GB2312" w:hAnsi="仿宋_GB2312" w:cs="仿宋_GB2312" w:hint="eastAsia"/>
          <w:sz w:val="32"/>
          <w:szCs w:val="32"/>
        </w:rPr>
        <w:t>市、区两级主管部门监管人员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的法治教育。将宪法法律纳入</w:t>
      </w:r>
      <w:r w:rsidR="004B04B2">
        <w:rPr>
          <w:rFonts w:ascii="仿宋_GB2312" w:eastAsia="仿宋_GB2312" w:hAnsi="仿宋_GB2312" w:cs="仿宋_GB2312" w:hint="eastAsia"/>
          <w:sz w:val="32"/>
          <w:szCs w:val="32"/>
        </w:rPr>
        <w:t>委办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教育培训中长期规划和年度计划，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作为</w:t>
      </w:r>
      <w:r w:rsidR="00323D7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各</w:t>
      </w:r>
      <w:r w:rsidR="00C8728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小额贷款公司</w:t>
      </w:r>
      <w:r w:rsidR="006431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和融资担保</w:t>
      </w:r>
      <w:r w:rsidR="00C8728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公司</w:t>
      </w:r>
      <w:r w:rsidR="00323D7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监管</w:t>
      </w:r>
      <w:r w:rsidR="004B04B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人员</w:t>
      </w:r>
      <w:r w:rsidR="006431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和</w:t>
      </w:r>
      <w:r w:rsidR="004B04B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执法</w:t>
      </w:r>
      <w:r w:rsidR="00323D7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人员的</w:t>
      </w:r>
      <w:r w:rsidR="00A932D8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入职培训、晋职（级）培训、在职培训的重要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内容，全面提升</w:t>
      </w:r>
      <w:r w:rsidR="00323D7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全体工作人员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法治素养。</w:t>
      </w:r>
    </w:p>
    <w:p w:rsidR="00E2275C" w:rsidRDefault="00571D68">
      <w:pPr>
        <w:ind w:firstLine="640"/>
        <w:rPr>
          <w:rFonts w:ascii="仿宋_GB2312" w:eastAsia="仿宋_GB2312" w:cs="Times New Roman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lastRenderedPageBreak/>
        <w:t>深入持续加强党章党规党纪教育，将党内法规教育纳入党支部学习重要内容，纳入基层党建考核内容，不断提升全面从严治党实效。</w:t>
      </w:r>
    </w:p>
    <w:p w:rsidR="00E2275C" w:rsidRDefault="00571D68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把普法融入制度建设过程</w:t>
      </w:r>
    </w:p>
    <w:p w:rsidR="006431BD" w:rsidRDefault="00C8728A" w:rsidP="00945C53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1</w:t>
      </w:r>
      <w:r w:rsidR="00CC6BF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 w:rsidR="006431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不断建立健全相关监管法律法规的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公开征求意见和</w:t>
      </w:r>
      <w:r w:rsidR="006431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公示机制。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除依法不宜公开的外，规范性文件草案</w:t>
      </w:r>
      <w:r w:rsidR="00571D68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通过门户网站、</w:t>
      </w:r>
      <w:r w:rsidR="00323D7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金融APP</w:t>
      </w:r>
      <w:r w:rsid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等多种渠道</w:t>
      </w:r>
      <w:r w:rsidR="00126BF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公布</w:t>
      </w:r>
      <w:r w:rsid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126BF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并根据情况向社会公开征求意见，</w:t>
      </w:r>
      <w:r w:rsid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及时通报情况。</w:t>
      </w:r>
    </w:p>
    <w:p w:rsidR="00BF6F15" w:rsidRDefault="00C8728A" w:rsidP="00104E7D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</w:t>
      </w:r>
      <w:r w:rsidR="00CC6BF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 w:rsidR="006431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继续</w:t>
      </w:r>
      <w:r w:rsidR="00672565" w:rsidRP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加强普法工作信息化平台建设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。</w:t>
      </w:r>
      <w:r w:rsidR="00464B97" w:rsidRP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及时在上海金融网站上</w:t>
      </w:r>
      <w:r w:rsidR="00571D68" w:rsidRP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发布</w:t>
      </w:r>
      <w:r w:rsidR="00464B97" w:rsidRP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相关政策、法律法规和</w:t>
      </w:r>
      <w:r w:rsidR="00571D68" w:rsidRP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规范性文件</w:t>
      </w:r>
      <w:r w:rsidR="00464B97" w:rsidRP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，提供</w:t>
      </w:r>
      <w:r w:rsidR="006431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面向社会的</w:t>
      </w:r>
      <w:r w:rsidR="00464B97" w:rsidRP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对外咨询热线</w:t>
      </w:r>
      <w:r w:rsidR="006431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电话与网上问答平台</w:t>
      </w:r>
      <w:r w:rsidR="00464B97" w:rsidRPr="00672565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</w:t>
      </w:r>
      <w:r w:rsidR="00104E7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及时宣传解读新修订、新出台的涉及监管工作的法律法规规章。</w:t>
      </w:r>
    </w:p>
    <w:p w:rsidR="00104E7D" w:rsidRDefault="00104E7D" w:rsidP="00945C53">
      <w:pPr>
        <w:ind w:firstLineChars="200"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3</w:t>
      </w:r>
      <w:r w:rsidR="00CC6BF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加强监管和执法人员培训。每年组织对各小额贷款公司和融资担保公司的董事、</w:t>
      </w:r>
      <w:r w:rsidR="004938A0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监事和高级管理人员的任职培训和年度培训，宣讲相关监管政策法规。通过开展走访、来访等一系列深入调研、交流活动，拓宽了解政策与法律法规的渠道，充实各主体法治意识，提高行业遵守监管规范的严肃性。</w:t>
      </w:r>
    </w:p>
    <w:p w:rsidR="00E2275C" w:rsidRPr="00126BF2" w:rsidRDefault="00104E7D" w:rsidP="00945C53">
      <w:pPr>
        <w:ind w:firstLineChars="200"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4</w:t>
      </w:r>
      <w:r w:rsidR="00CC6BF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进一步</w:t>
      </w:r>
      <w:r w:rsidR="006431BD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着力</w:t>
      </w:r>
      <w:r w:rsidR="00464B97" w:rsidRPr="00126BF2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推进依法行政，公开透明办事，做到行政审批和行政监管有理有据、有迹可循。</w:t>
      </w:r>
    </w:p>
    <w:p w:rsidR="00E2275C" w:rsidRDefault="00571D68">
      <w:pPr>
        <w:numPr>
          <w:ilvl w:val="0"/>
          <w:numId w:val="2"/>
        </w:numPr>
        <w:ind w:firstLine="64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加强考核评估</w:t>
      </w:r>
    </w:p>
    <w:p w:rsidR="00E2275C" w:rsidRDefault="00945C53">
      <w:pPr>
        <w:ind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把普法工作</w:t>
      </w:r>
      <w:r w:rsidR="00433FD9">
        <w:rPr>
          <w:rFonts w:ascii="仿宋_GB2312" w:eastAsia="仿宋_GB2312" w:cs="仿宋_GB2312" w:hint="eastAsia"/>
          <w:kern w:val="0"/>
          <w:sz w:val="32"/>
          <w:szCs w:val="32"/>
        </w:rPr>
        <w:t>开展情况反映在日常工作目标考核中，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并</w:t>
      </w:r>
      <w:r w:rsidR="00571D68">
        <w:rPr>
          <w:rFonts w:ascii="仿宋_GB2312" w:eastAsia="仿宋_GB2312" w:cs="仿宋_GB2312" w:hint="eastAsia"/>
          <w:kern w:val="0"/>
          <w:sz w:val="32"/>
          <w:szCs w:val="32"/>
        </w:rPr>
        <w:t>根</w:t>
      </w:r>
      <w:r w:rsidR="00571D68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据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委办相关</w:t>
      </w:r>
      <w:r w:rsidR="00571D68">
        <w:rPr>
          <w:rFonts w:ascii="仿宋_GB2312" w:eastAsia="仿宋_GB2312" w:cs="仿宋_GB2312" w:hint="eastAsia"/>
          <w:kern w:val="0"/>
          <w:sz w:val="32"/>
          <w:szCs w:val="32"/>
        </w:rPr>
        <w:t>规定，表彰奖励或通报表扬普法工作成效显著的部门和个人，通报批评普法责任不落实的部门和个人。</w:t>
      </w:r>
      <w:r w:rsidR="00433FD9">
        <w:rPr>
          <w:rFonts w:ascii="仿宋_GB2312" w:eastAsia="仿宋_GB2312" w:cs="仿宋_GB2312" w:hint="eastAsia"/>
          <w:kern w:val="0"/>
          <w:sz w:val="32"/>
          <w:szCs w:val="32"/>
        </w:rPr>
        <w:t>将普法工作开展情况纳入每年各区监管履职评价的内容之一。</w:t>
      </w:r>
    </w:p>
    <w:p w:rsidR="00E2275C" w:rsidRDefault="00CC6BF6">
      <w:pPr>
        <w:ind w:leftChars="304" w:left="959" w:hangingChars="100" w:hanging="321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</w:t>
      </w:r>
      <w:r w:rsidR="00571D6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）加强组织领导</w:t>
      </w:r>
    </w:p>
    <w:p w:rsidR="00E2275C" w:rsidRDefault="00571D6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将普法工作纳入</w:t>
      </w:r>
      <w:r w:rsidR="00945C53">
        <w:rPr>
          <w:rFonts w:ascii="仿宋_GB2312" w:eastAsia="仿宋_GB2312" w:hAnsi="仿宋_GB2312" w:cs="仿宋_GB2312" w:hint="eastAsia"/>
          <w:sz w:val="32"/>
          <w:szCs w:val="32"/>
        </w:rPr>
        <w:t>委办行政审批及金融监管服务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945C53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总体布局，建立健全普法领导和工作机构，明确分管领导、具体责任部门和责任人员，确定专人负责日常工作。</w:t>
      </w:r>
    </w:p>
    <w:p w:rsidR="00E2275C" w:rsidRPr="00CC6BF6" w:rsidRDefault="00571D68" w:rsidP="00CC6BF6">
      <w:pPr>
        <w:pStyle w:val="a6"/>
        <w:numPr>
          <w:ilvl w:val="0"/>
          <w:numId w:val="5"/>
        </w:numPr>
        <w:ind w:firstLineChars="0"/>
        <w:rPr>
          <w:rFonts w:ascii="黑体" w:eastAsia="黑体" w:hAnsi="黑体" w:cs="Times New Roman"/>
          <w:bCs/>
          <w:sz w:val="32"/>
          <w:szCs w:val="32"/>
        </w:rPr>
      </w:pPr>
      <w:r w:rsidRPr="00CC6BF6">
        <w:rPr>
          <w:rFonts w:ascii="黑体" w:eastAsia="黑体" w:hAnsi="黑体" w:cs="黑体" w:hint="eastAsia"/>
          <w:bCs/>
          <w:sz w:val="32"/>
          <w:szCs w:val="32"/>
        </w:rPr>
        <w:t>重点普法对象</w:t>
      </w:r>
    </w:p>
    <w:p w:rsidR="00E2275C" w:rsidRPr="003F44C9" w:rsidRDefault="00FA5A15" w:rsidP="003F44C9">
      <w:pPr>
        <w:numPr>
          <w:ilvl w:val="0"/>
          <w:numId w:val="3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市金融</w:t>
      </w:r>
      <w:r w:rsidR="003F44C9">
        <w:rPr>
          <w:rFonts w:ascii="仿宋_GB2312" w:eastAsia="仿宋_GB2312" w:hAnsi="仿宋_GB2312" w:cs="仿宋_GB2312" w:hint="eastAsia"/>
          <w:sz w:val="32"/>
          <w:szCs w:val="32"/>
        </w:rPr>
        <w:t>办小额贷款公司和融资担保公司监管工作人员、各区</w:t>
      </w:r>
      <w:r w:rsidRPr="003F44C9">
        <w:rPr>
          <w:rFonts w:ascii="仿宋_GB2312" w:eastAsia="仿宋_GB2312" w:hAnsi="仿宋_GB2312" w:cs="仿宋_GB2312" w:hint="eastAsia"/>
          <w:sz w:val="32"/>
          <w:szCs w:val="32"/>
        </w:rPr>
        <w:t>小额贷款公司和融资担保公司主管部门工作人员；</w:t>
      </w:r>
    </w:p>
    <w:p w:rsidR="00FA5A15" w:rsidRPr="003F44C9" w:rsidRDefault="00363336" w:rsidP="00FA5A15">
      <w:pPr>
        <w:numPr>
          <w:ilvl w:val="0"/>
          <w:numId w:val="3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各区小额贷款公司和融资担保公司的法定代表人、董事、监事</w:t>
      </w:r>
      <w:r w:rsidR="003F44C9">
        <w:rPr>
          <w:rFonts w:ascii="仿宋_GB2312" w:eastAsia="仿宋_GB2312" w:hAnsi="仿宋_GB2312" w:cs="仿宋_GB2312" w:hint="eastAsia"/>
          <w:sz w:val="32"/>
          <w:szCs w:val="32"/>
        </w:rPr>
        <w:t>及高级管理人员</w:t>
      </w:r>
      <w:r w:rsidR="00B944AB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公司股东</w:t>
      </w:r>
      <w:r w:rsidR="00B944AB">
        <w:rPr>
          <w:rFonts w:ascii="仿宋_GB2312" w:eastAsia="仿宋_GB2312" w:hAnsi="仿宋_GB2312" w:cs="仿宋_GB2312" w:hint="eastAsia"/>
          <w:sz w:val="32"/>
          <w:szCs w:val="32"/>
        </w:rPr>
        <w:t>和其他</w:t>
      </w:r>
      <w:r w:rsidR="003F44C9">
        <w:rPr>
          <w:rFonts w:ascii="仿宋_GB2312" w:eastAsia="仿宋_GB2312" w:hAnsi="仿宋_GB2312" w:cs="仿宋_GB2312" w:hint="eastAsia"/>
          <w:sz w:val="32"/>
          <w:szCs w:val="32"/>
        </w:rPr>
        <w:t>人员；</w:t>
      </w:r>
    </w:p>
    <w:p w:rsidR="003F44C9" w:rsidRPr="00363336" w:rsidRDefault="003F44C9" w:rsidP="00FA5A15">
      <w:pPr>
        <w:numPr>
          <w:ilvl w:val="0"/>
          <w:numId w:val="3"/>
        </w:numPr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本市小额贷款公司协会和融资担保行业协会工作人员，有关律师事务所、会计师事务所等中介机构人员。</w:t>
      </w:r>
    </w:p>
    <w:p w:rsidR="00363336" w:rsidRDefault="00363336" w:rsidP="00363336">
      <w:pPr>
        <w:rPr>
          <w:rFonts w:ascii="仿宋_GB2312" w:eastAsia="仿宋_GB2312" w:hAnsi="仿宋_GB2312" w:cs="仿宋_GB2312"/>
          <w:sz w:val="32"/>
          <w:szCs w:val="32"/>
        </w:rPr>
      </w:pPr>
    </w:p>
    <w:p w:rsidR="00AE5D82" w:rsidRDefault="00AE5D82" w:rsidP="00363336">
      <w:pPr>
        <w:rPr>
          <w:rFonts w:ascii="仿宋_GB2312" w:eastAsia="仿宋_GB2312" w:hAnsi="仿宋_GB2312" w:cs="仿宋_GB2312"/>
          <w:sz w:val="32"/>
          <w:szCs w:val="32"/>
        </w:rPr>
      </w:pPr>
    </w:p>
    <w:p w:rsidR="00363336" w:rsidRDefault="00363336" w:rsidP="00363336">
      <w:pPr>
        <w:jc w:val="right"/>
        <w:rPr>
          <w:rFonts w:ascii="仿宋_GB2312" w:eastAsia="仿宋_GB2312" w:hAnsi="仿宋_GB2312" w:cs="Times New Roman"/>
          <w:sz w:val="32"/>
          <w:szCs w:val="32"/>
        </w:rPr>
      </w:pPr>
    </w:p>
    <w:p w:rsidR="00E2275C" w:rsidRDefault="00E2275C" w:rsidP="00252A4E">
      <w:pPr>
        <w:rPr>
          <w:rFonts w:ascii="黑体" w:eastAsia="黑体" w:hAnsi="黑体" w:cs="Times New Roman"/>
          <w:b/>
          <w:bCs/>
          <w:sz w:val="32"/>
          <w:szCs w:val="32"/>
        </w:rPr>
      </w:pPr>
    </w:p>
    <w:sectPr w:rsidR="00E2275C" w:rsidSect="00E2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22" w:rsidRDefault="00081E22" w:rsidP="00430ED1">
      <w:r>
        <w:separator/>
      </w:r>
    </w:p>
  </w:endnote>
  <w:endnote w:type="continuationSeparator" w:id="0">
    <w:p w:rsidR="00081E22" w:rsidRDefault="00081E22" w:rsidP="0043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22" w:rsidRDefault="00081E22" w:rsidP="00430ED1">
      <w:r>
        <w:separator/>
      </w:r>
    </w:p>
  </w:footnote>
  <w:footnote w:type="continuationSeparator" w:id="0">
    <w:p w:rsidR="00081E22" w:rsidRDefault="00081E22" w:rsidP="00430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1AB25B"/>
    <w:multiLevelType w:val="singleLevel"/>
    <w:tmpl w:val="BB1AB2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20C77D"/>
    <w:multiLevelType w:val="singleLevel"/>
    <w:tmpl w:val="36BC178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0C0848B9"/>
    <w:multiLevelType w:val="hybridMultilevel"/>
    <w:tmpl w:val="BFF2236A"/>
    <w:lvl w:ilvl="0" w:tplc="CE366E52">
      <w:start w:val="3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B489DF"/>
    <w:multiLevelType w:val="singleLevel"/>
    <w:tmpl w:val="51B489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F913FF7"/>
    <w:multiLevelType w:val="hybridMultilevel"/>
    <w:tmpl w:val="3B02378A"/>
    <w:lvl w:ilvl="0" w:tplc="F9C253EE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61A"/>
    <w:rsid w:val="00003AD8"/>
    <w:rsid w:val="00041627"/>
    <w:rsid w:val="00066FA7"/>
    <w:rsid w:val="00081E22"/>
    <w:rsid w:val="000B654D"/>
    <w:rsid w:val="000C0814"/>
    <w:rsid w:val="000F4435"/>
    <w:rsid w:val="00104E7D"/>
    <w:rsid w:val="00126BF2"/>
    <w:rsid w:val="00136536"/>
    <w:rsid w:val="00202D30"/>
    <w:rsid w:val="00236129"/>
    <w:rsid w:val="00236B04"/>
    <w:rsid w:val="002412AC"/>
    <w:rsid w:val="00245294"/>
    <w:rsid w:val="00252A4E"/>
    <w:rsid w:val="002D18D3"/>
    <w:rsid w:val="00301753"/>
    <w:rsid w:val="0031178D"/>
    <w:rsid w:val="00323D70"/>
    <w:rsid w:val="00327AB7"/>
    <w:rsid w:val="00363336"/>
    <w:rsid w:val="00383065"/>
    <w:rsid w:val="00391152"/>
    <w:rsid w:val="00396047"/>
    <w:rsid w:val="003E4448"/>
    <w:rsid w:val="003F44C9"/>
    <w:rsid w:val="00430ED1"/>
    <w:rsid w:val="00433FD9"/>
    <w:rsid w:val="00451E1C"/>
    <w:rsid w:val="00464B97"/>
    <w:rsid w:val="00470BEC"/>
    <w:rsid w:val="00483FE8"/>
    <w:rsid w:val="00486DF5"/>
    <w:rsid w:val="00492394"/>
    <w:rsid w:val="004938A0"/>
    <w:rsid w:val="004B04B2"/>
    <w:rsid w:val="004C4009"/>
    <w:rsid w:val="005073F9"/>
    <w:rsid w:val="0051650A"/>
    <w:rsid w:val="005617F7"/>
    <w:rsid w:val="00566563"/>
    <w:rsid w:val="00571D68"/>
    <w:rsid w:val="006431BD"/>
    <w:rsid w:val="00654F4D"/>
    <w:rsid w:val="0066261A"/>
    <w:rsid w:val="006655C7"/>
    <w:rsid w:val="00672565"/>
    <w:rsid w:val="0067623E"/>
    <w:rsid w:val="006917A4"/>
    <w:rsid w:val="006C627F"/>
    <w:rsid w:val="0074054A"/>
    <w:rsid w:val="007505C9"/>
    <w:rsid w:val="00751629"/>
    <w:rsid w:val="007D0919"/>
    <w:rsid w:val="007D2C34"/>
    <w:rsid w:val="007E0477"/>
    <w:rsid w:val="00810BD2"/>
    <w:rsid w:val="00850635"/>
    <w:rsid w:val="0086703A"/>
    <w:rsid w:val="0089010C"/>
    <w:rsid w:val="008D43FA"/>
    <w:rsid w:val="008D6CA8"/>
    <w:rsid w:val="0091774C"/>
    <w:rsid w:val="00945A64"/>
    <w:rsid w:val="00945C53"/>
    <w:rsid w:val="009957F1"/>
    <w:rsid w:val="009B4A3E"/>
    <w:rsid w:val="009D4960"/>
    <w:rsid w:val="009F0CE9"/>
    <w:rsid w:val="009F5BC3"/>
    <w:rsid w:val="00A45157"/>
    <w:rsid w:val="00A932D8"/>
    <w:rsid w:val="00AE5D82"/>
    <w:rsid w:val="00B061B5"/>
    <w:rsid w:val="00B23B8B"/>
    <w:rsid w:val="00B77A6D"/>
    <w:rsid w:val="00B944AB"/>
    <w:rsid w:val="00BA4AB2"/>
    <w:rsid w:val="00BB34CE"/>
    <w:rsid w:val="00BE14C0"/>
    <w:rsid w:val="00BF6F15"/>
    <w:rsid w:val="00C64EBB"/>
    <w:rsid w:val="00C833E3"/>
    <w:rsid w:val="00C8728A"/>
    <w:rsid w:val="00CC6BF6"/>
    <w:rsid w:val="00D32A43"/>
    <w:rsid w:val="00D75FBD"/>
    <w:rsid w:val="00D766DB"/>
    <w:rsid w:val="00DA7071"/>
    <w:rsid w:val="00E2275C"/>
    <w:rsid w:val="00E5281F"/>
    <w:rsid w:val="00E94243"/>
    <w:rsid w:val="00EC372E"/>
    <w:rsid w:val="00EC7FB3"/>
    <w:rsid w:val="00ED64CE"/>
    <w:rsid w:val="00FA0CEF"/>
    <w:rsid w:val="00FA3D4E"/>
    <w:rsid w:val="00FA5A15"/>
    <w:rsid w:val="00FD0036"/>
    <w:rsid w:val="00FF5040"/>
    <w:rsid w:val="033A1662"/>
    <w:rsid w:val="06FC0C5D"/>
    <w:rsid w:val="070A0FCB"/>
    <w:rsid w:val="075E623C"/>
    <w:rsid w:val="07D76E15"/>
    <w:rsid w:val="0A8F5672"/>
    <w:rsid w:val="0B301B2B"/>
    <w:rsid w:val="0C557750"/>
    <w:rsid w:val="0C5755F4"/>
    <w:rsid w:val="0D4F31E3"/>
    <w:rsid w:val="0D925318"/>
    <w:rsid w:val="0E7C416F"/>
    <w:rsid w:val="0EB8249A"/>
    <w:rsid w:val="0F3237A5"/>
    <w:rsid w:val="10B91ED9"/>
    <w:rsid w:val="16A656B2"/>
    <w:rsid w:val="173F5CE8"/>
    <w:rsid w:val="17B52919"/>
    <w:rsid w:val="18124653"/>
    <w:rsid w:val="19676064"/>
    <w:rsid w:val="1E5D2420"/>
    <w:rsid w:val="22176997"/>
    <w:rsid w:val="22A41983"/>
    <w:rsid w:val="234D5D63"/>
    <w:rsid w:val="26A52CBA"/>
    <w:rsid w:val="270B0ED2"/>
    <w:rsid w:val="274A245B"/>
    <w:rsid w:val="28E77B24"/>
    <w:rsid w:val="290D3172"/>
    <w:rsid w:val="29FC69A4"/>
    <w:rsid w:val="2AE34E48"/>
    <w:rsid w:val="2B6A0DA3"/>
    <w:rsid w:val="2D11413D"/>
    <w:rsid w:val="30EB26A1"/>
    <w:rsid w:val="36DA643C"/>
    <w:rsid w:val="377A27F9"/>
    <w:rsid w:val="3892402D"/>
    <w:rsid w:val="3ABB5E73"/>
    <w:rsid w:val="3F9A6303"/>
    <w:rsid w:val="41795690"/>
    <w:rsid w:val="4335735C"/>
    <w:rsid w:val="436F3EA5"/>
    <w:rsid w:val="46DC32A4"/>
    <w:rsid w:val="47F6622C"/>
    <w:rsid w:val="492C5EC3"/>
    <w:rsid w:val="49D62CED"/>
    <w:rsid w:val="4C3B486E"/>
    <w:rsid w:val="4F0703B6"/>
    <w:rsid w:val="51B7016C"/>
    <w:rsid w:val="52342F19"/>
    <w:rsid w:val="534439AF"/>
    <w:rsid w:val="587402B0"/>
    <w:rsid w:val="59816A0B"/>
    <w:rsid w:val="5D04440A"/>
    <w:rsid w:val="5E3D14C6"/>
    <w:rsid w:val="5EFD0B62"/>
    <w:rsid w:val="60C23DED"/>
    <w:rsid w:val="62CB2E8A"/>
    <w:rsid w:val="64670289"/>
    <w:rsid w:val="6606689D"/>
    <w:rsid w:val="6861357C"/>
    <w:rsid w:val="69053FEE"/>
    <w:rsid w:val="6ACE64C8"/>
    <w:rsid w:val="6B0D6562"/>
    <w:rsid w:val="6B580129"/>
    <w:rsid w:val="6BFD2A4C"/>
    <w:rsid w:val="6EE22112"/>
    <w:rsid w:val="70245861"/>
    <w:rsid w:val="72804575"/>
    <w:rsid w:val="75AA7367"/>
    <w:rsid w:val="79C96436"/>
    <w:rsid w:val="7A301728"/>
    <w:rsid w:val="7A662120"/>
    <w:rsid w:val="7B492B1E"/>
    <w:rsid w:val="7B8D4ACB"/>
    <w:rsid w:val="7EC5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5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2275C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2275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2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2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E2275C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locked/>
    <w:rsid w:val="00E2275C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2275C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2275C"/>
    <w:rPr>
      <w:rFonts w:ascii="Calibri" w:hAnsi="Calibri" w:cs="Calibri"/>
      <w:sz w:val="2"/>
      <w:szCs w:val="2"/>
    </w:rPr>
  </w:style>
  <w:style w:type="paragraph" w:styleId="a6">
    <w:name w:val="List Paragraph"/>
    <w:basedOn w:val="a"/>
    <w:uiPriority w:val="99"/>
    <w:unhideWhenUsed/>
    <w:rsid w:val="00CC6B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L·Y</dc:creator>
  <cp:lastModifiedBy>user</cp:lastModifiedBy>
  <cp:revision>2</cp:revision>
  <cp:lastPrinted>2018-04-18T07:07:00Z</cp:lastPrinted>
  <dcterms:created xsi:type="dcterms:W3CDTF">2018-12-10T07:01:00Z</dcterms:created>
  <dcterms:modified xsi:type="dcterms:W3CDTF">2018-12-10T07:01:00Z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