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13" w:rsidRDefault="00E82D97">
      <w:pPr>
        <w:jc w:val="center"/>
        <w:rPr>
          <w:rFonts w:ascii="黑体" w:eastAsia="黑体" w:hAnsi="黑体" w:cs="Times New Roman"/>
          <w:sz w:val="36"/>
          <w:szCs w:val="36"/>
        </w:rPr>
      </w:pPr>
      <w:r>
        <w:rPr>
          <w:rFonts w:ascii="黑体" w:eastAsia="黑体" w:hAnsi="黑体" w:cs="黑体" w:hint="eastAsia"/>
          <w:sz w:val="36"/>
          <w:szCs w:val="36"/>
        </w:rPr>
        <w:t>中共上</w:t>
      </w:r>
      <w:r w:rsidR="00C96FBA">
        <w:rPr>
          <w:rFonts w:ascii="黑体" w:eastAsia="黑体" w:hAnsi="黑体" w:cs="黑体" w:hint="eastAsia"/>
          <w:sz w:val="36"/>
          <w:szCs w:val="36"/>
        </w:rPr>
        <w:t>海市</w:t>
      </w:r>
      <w:r>
        <w:rPr>
          <w:rFonts w:ascii="黑体" w:eastAsia="黑体" w:hAnsi="黑体" w:cs="黑体" w:hint="eastAsia"/>
          <w:sz w:val="36"/>
          <w:szCs w:val="36"/>
        </w:rPr>
        <w:t xml:space="preserve">城乡建设和交通工作委员会                               </w:t>
      </w:r>
      <w:r w:rsidR="00B243BC">
        <w:rPr>
          <w:rFonts w:ascii="黑体" w:eastAsia="黑体" w:hAnsi="黑体" w:cs="黑体" w:hint="eastAsia"/>
          <w:sz w:val="36"/>
          <w:szCs w:val="36"/>
        </w:rPr>
        <w:t>“谁执法谁普法”普法责任清单</w:t>
      </w:r>
    </w:p>
    <w:p w:rsidR="00B85713" w:rsidRPr="00E82D97" w:rsidRDefault="00B85713">
      <w:pPr>
        <w:jc w:val="center"/>
        <w:rPr>
          <w:rFonts w:ascii="黑体" w:eastAsia="黑体" w:hAnsi="黑体" w:cs="Times New Roman"/>
          <w:sz w:val="36"/>
          <w:szCs w:val="36"/>
        </w:rPr>
      </w:pPr>
      <w:bookmarkStart w:id="0" w:name="_GoBack"/>
      <w:bookmarkEnd w:id="0"/>
    </w:p>
    <w:p w:rsidR="00B85713" w:rsidRDefault="00B243BC">
      <w:pPr>
        <w:ind w:firstLineChars="200" w:firstLine="643"/>
        <w:rPr>
          <w:rFonts w:ascii="黑体" w:eastAsia="黑体" w:hAnsi="黑体" w:cs="Times New Roman"/>
          <w:b/>
          <w:bCs/>
          <w:sz w:val="32"/>
          <w:szCs w:val="32"/>
        </w:rPr>
      </w:pPr>
      <w:r>
        <w:rPr>
          <w:rFonts w:ascii="黑体" w:eastAsia="黑体" w:hAnsi="黑体" w:cs="黑体" w:hint="eastAsia"/>
          <w:b/>
          <w:bCs/>
          <w:sz w:val="32"/>
          <w:szCs w:val="32"/>
        </w:rPr>
        <w:t>一、重点宣传普及的法律法规规章规范性文件清单及责任部门</w:t>
      </w:r>
    </w:p>
    <w:p w:rsidR="00B85713" w:rsidRDefault="00B243BC">
      <w:pPr>
        <w:ind w:firstLine="640"/>
        <w:rPr>
          <w:rFonts w:ascii="仿宋_GB2312" w:eastAsia="仿宋_GB2312" w:hAnsi="仿宋_GB2312" w:cs="Times New Roman"/>
          <w:sz w:val="32"/>
          <w:szCs w:val="32"/>
        </w:rPr>
      </w:pPr>
      <w:r>
        <w:rPr>
          <w:rFonts w:ascii="仿宋_GB2312" w:eastAsia="仿宋_GB2312" w:hAnsi="仿宋_GB2312" w:cs="仿宋_GB2312"/>
          <w:sz w:val="32"/>
          <w:szCs w:val="32"/>
        </w:rPr>
        <w:t>1</w:t>
      </w:r>
      <w:r w:rsidR="00E82D97">
        <w:rPr>
          <w:rFonts w:ascii="仿宋_GB2312" w:eastAsia="仿宋_GB2312" w:hAnsi="仿宋_GB2312" w:cs="仿宋_GB2312" w:hint="eastAsia"/>
          <w:sz w:val="32"/>
          <w:szCs w:val="32"/>
        </w:rPr>
        <w:t>、《中华人民共和国宪法》</w:t>
      </w:r>
    </w:p>
    <w:p w:rsidR="00B85713" w:rsidRDefault="00B243BC">
      <w:pPr>
        <w:pStyle w:val="1"/>
        <w:widowControl/>
        <w:shd w:val="clear" w:color="auto" w:fill="FFFFFF"/>
        <w:spacing w:beforeAutospacing="0" w:afterAutospacing="0"/>
        <w:ind w:firstLineChars="200" w:firstLine="640"/>
        <w:rPr>
          <w:rFonts w:ascii="仿宋_GB2312" w:eastAsia="仿宋_GB2312" w:hAnsi="仿宋_GB2312" w:cs="Times New Roman"/>
          <w:b w:val="0"/>
          <w:bCs w:val="0"/>
          <w:kern w:val="2"/>
          <w:sz w:val="32"/>
          <w:szCs w:val="32"/>
        </w:rPr>
      </w:pPr>
      <w:r>
        <w:rPr>
          <w:rFonts w:ascii="仿宋_GB2312" w:eastAsia="仿宋_GB2312" w:hAnsi="仿宋_GB2312" w:cs="仿宋_GB2312"/>
          <w:b w:val="0"/>
          <w:bCs w:val="0"/>
          <w:kern w:val="2"/>
          <w:sz w:val="32"/>
          <w:szCs w:val="32"/>
        </w:rPr>
        <w:t>2</w:t>
      </w:r>
      <w:r w:rsidR="00073ADD">
        <w:rPr>
          <w:rFonts w:ascii="仿宋_GB2312" w:eastAsia="仿宋_GB2312" w:hAnsi="仿宋_GB2312" w:cs="仿宋_GB2312" w:hint="eastAsia"/>
          <w:b w:val="0"/>
          <w:bCs w:val="0"/>
          <w:kern w:val="2"/>
          <w:sz w:val="32"/>
          <w:szCs w:val="32"/>
        </w:rPr>
        <w:t>、</w:t>
      </w:r>
      <w:r w:rsidR="00E82D97">
        <w:rPr>
          <w:rFonts w:ascii="仿宋_GB2312" w:eastAsia="仿宋_GB2312" w:hAnsi="仿宋_GB2312" w:cs="仿宋_GB2312" w:hint="eastAsia"/>
          <w:b w:val="0"/>
          <w:bCs w:val="0"/>
          <w:kern w:val="2"/>
          <w:sz w:val="32"/>
          <w:szCs w:val="32"/>
        </w:rPr>
        <w:t>习近平新时代中国特色社会主义</w:t>
      </w:r>
      <w:r w:rsidR="00863DE9">
        <w:rPr>
          <w:rFonts w:ascii="仿宋_GB2312" w:eastAsia="仿宋_GB2312" w:hAnsi="仿宋_GB2312" w:cs="仿宋_GB2312" w:hint="eastAsia"/>
          <w:b w:val="0"/>
          <w:bCs w:val="0"/>
          <w:kern w:val="2"/>
          <w:sz w:val="32"/>
          <w:szCs w:val="32"/>
        </w:rPr>
        <w:t>思想特别是习近平总书记关于全面依法治国的重要论述</w:t>
      </w:r>
    </w:p>
    <w:p w:rsidR="00B85713" w:rsidRDefault="00B243BC">
      <w:pPr>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3</w:t>
      </w:r>
      <w:r w:rsidR="00073ADD">
        <w:rPr>
          <w:rFonts w:ascii="仿宋_GB2312" w:eastAsia="仿宋_GB2312" w:hAnsi="仿宋_GB2312" w:cs="仿宋_GB2312" w:hint="eastAsia"/>
          <w:sz w:val="32"/>
          <w:szCs w:val="32"/>
        </w:rPr>
        <w:t>、</w:t>
      </w:r>
      <w:r w:rsidR="00863DE9">
        <w:rPr>
          <w:rFonts w:ascii="仿宋_GB2312" w:eastAsia="仿宋_GB2312" w:hAnsi="仿宋_GB2312" w:cs="仿宋_GB2312" w:hint="eastAsia"/>
          <w:sz w:val="32"/>
          <w:szCs w:val="32"/>
        </w:rPr>
        <w:t>以习近平同志为核心的党中央关于全面依法治国的重要部署</w:t>
      </w:r>
    </w:p>
    <w:p w:rsidR="00B85713" w:rsidRDefault="00B243BC">
      <w:pPr>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4</w:t>
      </w:r>
      <w:r w:rsidR="00073ADD">
        <w:rPr>
          <w:rFonts w:ascii="仿宋_GB2312" w:eastAsia="仿宋_GB2312" w:hAnsi="仿宋_GB2312" w:cs="仿宋_GB2312" w:hint="eastAsia"/>
          <w:sz w:val="32"/>
          <w:szCs w:val="32"/>
        </w:rPr>
        <w:t>、</w:t>
      </w:r>
      <w:r w:rsidR="00863DE9">
        <w:rPr>
          <w:rFonts w:ascii="仿宋_GB2312" w:eastAsia="仿宋_GB2312" w:hAnsi="仿宋_GB2312" w:cs="仿宋_GB2312" w:hint="eastAsia"/>
          <w:sz w:val="32"/>
          <w:szCs w:val="32"/>
        </w:rPr>
        <w:t>中国特色社会主义法律体系</w:t>
      </w:r>
    </w:p>
    <w:p w:rsidR="00863DE9" w:rsidRPr="00863DE9" w:rsidRDefault="00B243BC" w:rsidP="00863DE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sidR="00073ADD">
        <w:rPr>
          <w:rFonts w:ascii="仿宋_GB2312" w:eastAsia="仿宋_GB2312" w:hAnsi="仿宋_GB2312" w:cs="仿宋_GB2312" w:hint="eastAsia"/>
          <w:sz w:val="32"/>
          <w:szCs w:val="32"/>
        </w:rPr>
        <w:t>、</w:t>
      </w:r>
      <w:r w:rsidR="00863DE9">
        <w:rPr>
          <w:rFonts w:ascii="仿宋_GB2312" w:eastAsia="仿宋_GB2312" w:hAnsi="仿宋_GB2312" w:cs="仿宋_GB2312" w:hint="eastAsia"/>
          <w:sz w:val="32"/>
          <w:szCs w:val="32"/>
        </w:rPr>
        <w:t>与上海加快推进“五个中心”建设、加快推进卓越的全球城市和社会主义现代化国际大都市建设密切相关的法律法规规章</w:t>
      </w:r>
    </w:p>
    <w:p w:rsidR="00863DE9" w:rsidRDefault="00B243BC">
      <w:pPr>
        <w:ind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w:t>
      </w:r>
      <w:r w:rsidR="006D5E1E">
        <w:rPr>
          <w:rFonts w:ascii="仿宋_GB2312" w:eastAsia="仿宋_GB2312" w:hAnsi="仿宋_GB2312" w:cs="仿宋_GB2312" w:hint="eastAsia"/>
          <w:sz w:val="32"/>
          <w:szCs w:val="32"/>
        </w:rPr>
        <w:t>与本系统、本部门、本单位职责相关的法律法规规章</w:t>
      </w:r>
    </w:p>
    <w:p w:rsidR="00B85713" w:rsidRDefault="00B243BC">
      <w:pPr>
        <w:ind w:firstLine="640"/>
        <w:rPr>
          <w:rFonts w:ascii="仿宋_GB2312" w:eastAsia="仿宋_GB2312" w:hAnsi="仿宋_GB2312" w:cs="Times New Roman"/>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w:t>
      </w:r>
      <w:r w:rsidR="006D5E1E">
        <w:rPr>
          <w:rFonts w:ascii="仿宋_GB2312" w:eastAsia="仿宋_GB2312" w:hAnsi="仿宋_GB2312" w:cs="仿宋_GB2312" w:hint="eastAsia"/>
          <w:sz w:val="32"/>
          <w:szCs w:val="32"/>
        </w:rPr>
        <w:t>党内法规</w:t>
      </w:r>
    </w:p>
    <w:p w:rsidR="00B85713" w:rsidRDefault="00B243BC">
      <w:pPr>
        <w:numPr>
          <w:ilvl w:val="0"/>
          <w:numId w:val="1"/>
        </w:numPr>
        <w:ind w:firstLineChars="200" w:firstLine="643"/>
        <w:rPr>
          <w:rFonts w:ascii="黑体" w:eastAsia="黑体" w:hAnsi="黑体" w:cs="Times New Roman"/>
          <w:b/>
          <w:bCs/>
          <w:sz w:val="32"/>
          <w:szCs w:val="32"/>
        </w:rPr>
      </w:pPr>
      <w:r>
        <w:rPr>
          <w:rFonts w:ascii="黑体" w:eastAsia="黑体" w:hAnsi="黑体" w:cs="黑体" w:hint="eastAsia"/>
          <w:b/>
          <w:bCs/>
          <w:sz w:val="32"/>
          <w:szCs w:val="32"/>
        </w:rPr>
        <w:t>项目清单</w:t>
      </w:r>
    </w:p>
    <w:p w:rsidR="00B85713" w:rsidRDefault="006D5E1E">
      <w:pPr>
        <w:numPr>
          <w:ilvl w:val="0"/>
          <w:numId w:val="2"/>
        </w:numPr>
        <w:ind w:firstLine="64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建立健全工作机制</w:t>
      </w:r>
    </w:p>
    <w:p w:rsidR="00512887" w:rsidRDefault="00E12BF2" w:rsidP="00E12BF2">
      <w:p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在市法宣办的统一领导下，市建设交通系统法宣办负责组织、协调、指导、督促系统各单位落实“谁执法、谁普法”普法责任制。各单位要结合实际，认真制定具体实施方案，</w:t>
      </w:r>
      <w:r>
        <w:rPr>
          <w:rFonts w:ascii="仿宋_GB2312" w:eastAsia="仿宋_GB2312" w:hAnsi="仿宋_GB2312" w:cs="仿宋_GB2312" w:hint="eastAsia"/>
          <w:sz w:val="32"/>
          <w:szCs w:val="32"/>
        </w:rPr>
        <w:lastRenderedPageBreak/>
        <w:t>建立健全“谁执法谁普法”工作机制，加强组织协调和监督检查。要建立健全备案和报告制度，于每年年初将上年度工作情况和本年度工作计划及重点普法项目报系统法宣办备案。</w:t>
      </w:r>
    </w:p>
    <w:p w:rsidR="00512887" w:rsidRPr="00512887" w:rsidRDefault="00E12BF2" w:rsidP="00512887">
      <w:pPr>
        <w:numPr>
          <w:ilvl w:val="0"/>
          <w:numId w:val="2"/>
        </w:numPr>
        <w:ind w:firstLine="640"/>
        <w:rPr>
          <w:rFonts w:ascii="仿宋_GB2312" w:eastAsia="仿宋_GB2312" w:cs="Times New Roman"/>
          <w:kern w:val="0"/>
          <w:sz w:val="32"/>
          <w:szCs w:val="32"/>
        </w:rPr>
      </w:pPr>
      <w:r>
        <w:rPr>
          <w:rFonts w:ascii="仿宋_GB2312" w:eastAsia="仿宋_GB2312" w:hAnsi="仿宋_GB2312" w:cs="仿宋_GB2312" w:hint="eastAsia"/>
          <w:b/>
          <w:sz w:val="32"/>
          <w:szCs w:val="32"/>
        </w:rPr>
        <w:t>实行普法责任清单制度</w:t>
      </w:r>
    </w:p>
    <w:p w:rsidR="00327F85" w:rsidRPr="00E12BF2" w:rsidRDefault="00E12BF2" w:rsidP="00E12BF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单位要围绕中心工作，将重点宣传的法律法规规章、重点普法对象、重点普法任务和具体普法责任单位等以普法责任清单的形式予以明确，通过门户网站等形式向社会公布，并根据相关法律法规规章立、改、废、</w:t>
      </w:r>
      <w:proofErr w:type="gramStart"/>
      <w:r>
        <w:rPr>
          <w:rFonts w:ascii="仿宋_GB2312" w:eastAsia="仿宋_GB2312" w:hAnsi="仿宋_GB2312" w:cs="仿宋_GB2312" w:hint="eastAsia"/>
          <w:sz w:val="32"/>
          <w:szCs w:val="32"/>
        </w:rPr>
        <w:t>释及本</w:t>
      </w:r>
      <w:proofErr w:type="gramEnd"/>
      <w:r>
        <w:rPr>
          <w:rFonts w:ascii="仿宋_GB2312" w:eastAsia="仿宋_GB2312" w:hAnsi="仿宋_GB2312" w:cs="仿宋_GB2312" w:hint="eastAsia"/>
          <w:sz w:val="32"/>
          <w:szCs w:val="32"/>
        </w:rPr>
        <w:t>单位职能变化等情况，定期对普法责任清单进行调整并向上级法宣部门备案，为开展工作、检查考核提供基本依据。</w:t>
      </w:r>
    </w:p>
    <w:p w:rsidR="00817BE0" w:rsidRDefault="00817BE0" w:rsidP="00817BE0">
      <w:pPr>
        <w:numPr>
          <w:ilvl w:val="0"/>
          <w:numId w:val="2"/>
        </w:numPr>
        <w:ind w:firstLine="640"/>
        <w:rPr>
          <w:rFonts w:ascii="仿宋_GB2312" w:eastAsia="仿宋_GB2312" w:hAnsi="仿宋_GB2312" w:cs="Times New Roman"/>
          <w:b/>
          <w:bCs/>
          <w:sz w:val="32"/>
          <w:szCs w:val="32"/>
        </w:rPr>
      </w:pPr>
      <w:proofErr w:type="gramStart"/>
      <w:r>
        <w:rPr>
          <w:rFonts w:ascii="仿宋_GB2312" w:eastAsia="仿宋_GB2312" w:hAnsi="仿宋_GB2312" w:cs="Times New Roman" w:hint="eastAsia"/>
          <w:b/>
          <w:bCs/>
          <w:sz w:val="32"/>
          <w:szCs w:val="32"/>
        </w:rPr>
        <w:t>构建全</w:t>
      </w:r>
      <w:proofErr w:type="gramEnd"/>
      <w:r>
        <w:rPr>
          <w:rFonts w:ascii="仿宋_GB2312" w:eastAsia="仿宋_GB2312" w:hAnsi="仿宋_GB2312" w:cs="Times New Roman" w:hint="eastAsia"/>
          <w:b/>
          <w:bCs/>
          <w:sz w:val="32"/>
          <w:szCs w:val="32"/>
        </w:rPr>
        <w:t>覆盖的法治学习教育格局</w:t>
      </w:r>
    </w:p>
    <w:p w:rsidR="00817BE0" w:rsidRPr="00817BE0" w:rsidRDefault="00817BE0" w:rsidP="00817BE0">
      <w:pPr>
        <w:rPr>
          <w:rFonts w:ascii="仿宋_GB2312" w:eastAsia="仿宋_GB2312" w:hAnsi="仿宋_GB2312" w:cs="Times New Roman"/>
          <w:bCs/>
          <w:sz w:val="32"/>
          <w:szCs w:val="32"/>
        </w:rPr>
      </w:pPr>
      <w:r>
        <w:rPr>
          <w:rFonts w:ascii="仿宋_GB2312" w:eastAsia="仿宋_GB2312" w:hAnsi="仿宋_GB2312" w:cs="Times New Roman" w:hint="eastAsia"/>
          <w:bCs/>
          <w:sz w:val="32"/>
          <w:szCs w:val="32"/>
        </w:rPr>
        <w:t xml:space="preserve">    各单位要建立健全党委（党组）中心组学法制度，每年集体学法不少于2次。通过组织各级领导干部旁听庭审活动，提高领导干部运用法治思维和法治方式能力。要加强各级机关公务员和基层行政执法人员的法治教育，把习近平总书记关于全面依法治国的重要论述、中国特色社会主义法律体系、与行政执法职能相关的法律法规规章列入各单位教育培训中长期规划和年度计划，作为机关公务员和行政执法人员入职培训、晋职（级）培训、业务培训的必训内容，全面提升公务员和行政执法人员的法治素养。要深入持续加强党章党规党纪教育，将党内法规教育纳入各级党组织“三会一课”</w:t>
      </w:r>
      <w:r>
        <w:rPr>
          <w:rFonts w:ascii="仿宋_GB2312" w:eastAsia="仿宋_GB2312" w:hAnsi="仿宋_GB2312" w:cs="Times New Roman" w:hint="eastAsia"/>
          <w:bCs/>
          <w:sz w:val="32"/>
          <w:szCs w:val="32"/>
        </w:rPr>
        <w:lastRenderedPageBreak/>
        <w:t>重要内容，纳入基层党建考核内容，不断提升全面从严治党实效。要严格实行行政执法人员持证上岗和资格管理制度，建立行政执法人员动态管理库，定期开展执法</w:t>
      </w:r>
      <w:proofErr w:type="gramStart"/>
      <w:r>
        <w:rPr>
          <w:rFonts w:ascii="仿宋_GB2312" w:eastAsia="仿宋_GB2312" w:hAnsi="仿宋_GB2312" w:cs="Times New Roman" w:hint="eastAsia"/>
          <w:bCs/>
          <w:sz w:val="32"/>
          <w:szCs w:val="32"/>
        </w:rPr>
        <w:t>证清理</w:t>
      </w:r>
      <w:proofErr w:type="gramEnd"/>
      <w:r>
        <w:rPr>
          <w:rFonts w:ascii="仿宋_GB2312" w:eastAsia="仿宋_GB2312" w:hAnsi="仿宋_GB2312" w:cs="Times New Roman" w:hint="eastAsia"/>
          <w:bCs/>
          <w:sz w:val="32"/>
          <w:szCs w:val="32"/>
        </w:rPr>
        <w:t>工作，未经执法资格考试合格，不得授予执法资格，不得从事执法活动。</w:t>
      </w:r>
    </w:p>
    <w:p w:rsidR="00B85713" w:rsidRDefault="00327F85">
      <w:pPr>
        <w:numPr>
          <w:ilvl w:val="0"/>
          <w:numId w:val="2"/>
        </w:numPr>
        <w:ind w:firstLine="64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把普法工作融入立法全过程</w:t>
      </w:r>
    </w:p>
    <w:p w:rsidR="008D1D9C" w:rsidRDefault="008D1D9C" w:rsidP="008D1D9C">
      <w:pPr>
        <w:ind w:firstLine="640"/>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各单位要在法规规章和规范性文件的立、改、废、释中加强法治宣传，积极拓展公民有序参与立法途径，健全法规规章和规范性文件草案公开征求意见机制，除依法不宜公开的外，法规规章和规范性文件草案要通过门户网站、微博、微信、新闻媒体等多种渠道向社会公开征求意见，并及时通报情况，增强社会公众对法规规章和规范性文件的理解认同。要建立解读机制和公告制度，将政策解读作为每年新修订、新出台的法规规章和规范性文件发布的必经程序，通过专家解读、图解、记者问答等多种形式做好普及宣传。</w:t>
      </w:r>
    </w:p>
    <w:p w:rsidR="00B85713" w:rsidRDefault="008D1D9C">
      <w:pPr>
        <w:numPr>
          <w:ilvl w:val="0"/>
          <w:numId w:val="2"/>
        </w:numPr>
        <w:ind w:firstLine="64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建立健全以案释法工作机制</w:t>
      </w:r>
    </w:p>
    <w:p w:rsidR="004173AD" w:rsidRDefault="008D1D9C" w:rsidP="004173A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单位要明确在法治实践各环节加强普法、开展以案释法的职责任务和基本要求，实现普法与执法、服务的深度融合。要在行政许可受理过程中，通过门户网站公开并及时更新行政审批办事指南，告之低昂诗人享有的法定权利和应当履行的法定义务等注意事项。要在行政处罚案件办理过程中推行全程说理式执法，把普法融入案件受理、调查取证、案</w:t>
      </w:r>
      <w:r>
        <w:rPr>
          <w:rFonts w:ascii="仿宋_GB2312" w:eastAsia="仿宋_GB2312" w:hAnsi="仿宋_GB2312" w:cs="仿宋_GB2312" w:hint="eastAsia"/>
          <w:sz w:val="32"/>
          <w:szCs w:val="32"/>
        </w:rPr>
        <w:lastRenderedPageBreak/>
        <w:t>件审理、告知听证、处罚决定和处罚执行全过程，主动告知行政执法的依据、标准、程序等，说透法理、说明事理、说通情理，提高行政处罚公信力。要在办理群众来信来访、投诉、行政复议等过程中结合群众反映的问题，主动阐明相关法律规定，做好针对性法治宣传教育工作。</w:t>
      </w:r>
    </w:p>
    <w:p w:rsidR="00F3618A" w:rsidRPr="00F3618A" w:rsidRDefault="008D1D9C" w:rsidP="00F3618A">
      <w:pPr>
        <w:numPr>
          <w:ilvl w:val="0"/>
          <w:numId w:val="2"/>
        </w:numPr>
        <w:ind w:firstLine="640"/>
        <w:rPr>
          <w:rFonts w:ascii="仿宋_GB2312" w:eastAsia="仿宋_GB2312" w:cs="Times New Roman"/>
          <w:kern w:val="0"/>
          <w:sz w:val="32"/>
          <w:szCs w:val="32"/>
          <w:lang w:val="zh-CN"/>
        </w:rPr>
      </w:pPr>
      <w:r>
        <w:rPr>
          <w:rFonts w:ascii="仿宋_GB2312" w:eastAsia="仿宋_GB2312" w:hAnsi="仿宋_GB2312" w:cs="仿宋_GB2312" w:hint="eastAsia"/>
          <w:b/>
          <w:bCs/>
          <w:sz w:val="32"/>
          <w:szCs w:val="32"/>
        </w:rPr>
        <w:t>组织开展法治宣传教育活动</w:t>
      </w:r>
    </w:p>
    <w:p w:rsidR="001350D4" w:rsidRDefault="008D1D9C" w:rsidP="00B51CF3">
      <w:pPr>
        <w:ind w:firstLineChars="200" w:firstLine="640"/>
        <w:rPr>
          <w:rFonts w:ascii="仿宋_GB2312" w:eastAsia="仿宋_GB2312" w:hAnsi="仿宋_GB2312" w:cs="仿宋_GB2312"/>
          <w:sz w:val="32"/>
          <w:szCs w:val="32"/>
        </w:rPr>
      </w:pPr>
      <w:r>
        <w:rPr>
          <w:rFonts w:ascii="仿宋_GB2312" w:eastAsia="仿宋_GB2312" w:cs="Times New Roman" w:hint="eastAsia"/>
          <w:kern w:val="0"/>
          <w:sz w:val="32"/>
          <w:szCs w:val="32"/>
          <w:lang w:val="zh-CN"/>
        </w:rPr>
        <w:t>各单位要按照中央和市委的部署要求，紧密结合建设交通行业特点，组织开展法治宣传进机关、进学校、进企业</w:t>
      </w:r>
      <w:r w:rsidR="00B51CF3">
        <w:rPr>
          <w:rFonts w:ascii="仿宋_GB2312" w:eastAsia="仿宋_GB2312" w:cs="Times New Roman" w:hint="eastAsia"/>
          <w:kern w:val="0"/>
          <w:sz w:val="32"/>
          <w:szCs w:val="32"/>
          <w:lang w:val="zh-CN"/>
        </w:rPr>
        <w:t>等活动，广泛宣传本单位、本部门执行的法律法规规章。要聚焦群众关心的征地拆迁、环境保护、安全生产、住宅小区治理、道路交通管理等建设交通行业热点难点问题，组织开展相关重点人群的法律法规规章讲解和政策宣传。要以“12·4”国家宪法日、上海市宪法宣传周、“世界城市日”等重要社会宣传活动为契机，组织开展形式多样、生动有效的法治宣传活动。</w:t>
      </w:r>
    </w:p>
    <w:p w:rsidR="001350D4" w:rsidRPr="001350D4" w:rsidRDefault="00B51CF3" w:rsidP="001350D4">
      <w:pPr>
        <w:numPr>
          <w:ilvl w:val="0"/>
          <w:numId w:val="2"/>
        </w:numPr>
        <w:ind w:firstLine="64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加强社会主义法治文化建设</w:t>
      </w:r>
    </w:p>
    <w:p w:rsidR="00B85713" w:rsidRDefault="00B51CF3" w:rsidP="001350D4">
      <w:pPr>
        <w:ind w:firstLineChars="200" w:firstLine="640"/>
        <w:rPr>
          <w:rFonts w:ascii="仿宋_GB2312" w:eastAsia="仿宋_GB2312" w:cs="仿宋_GB2312"/>
          <w:kern w:val="0"/>
          <w:sz w:val="32"/>
          <w:szCs w:val="32"/>
          <w:lang w:val="zh-CN"/>
        </w:rPr>
      </w:pPr>
      <w:r>
        <w:rPr>
          <w:rFonts w:ascii="仿宋_GB2312" w:eastAsia="仿宋_GB2312" w:hAnsi="仿宋_GB2312" w:cs="Times New Roman" w:hint="eastAsia"/>
          <w:bCs/>
          <w:sz w:val="32"/>
          <w:szCs w:val="32"/>
        </w:rPr>
        <w:t>各单位要按照中央、市委要求，把社会主义法治文化建设摆上重要位置，吧社会主义和兴价值观融入法治建设，结合建设交通行业特点，实施法治文化阵地工程，在市法宣办统一组织下，开展争创本市社会主义法治文化示范点工作，推进法治文化进公园、进广场、进场馆、进基地等阵地建设；实施法治文化作品工程，在积极参加全市举办法治文化活动</w:t>
      </w:r>
      <w:r>
        <w:rPr>
          <w:rFonts w:ascii="仿宋_GB2312" w:eastAsia="仿宋_GB2312" w:hAnsi="仿宋_GB2312" w:cs="Times New Roman" w:hint="eastAsia"/>
          <w:bCs/>
          <w:sz w:val="32"/>
          <w:szCs w:val="32"/>
        </w:rPr>
        <w:lastRenderedPageBreak/>
        <w:t>的同时，充分利用行业文化载体，广泛开展群众性法治文化活动，打造法治文化“建交品牌”，推出一批有代表性、有正能量、有感染力的行业优秀法治文化作品，讲好行业行政执法故事，充分发挥法治文化价值引领和精神熏陶作用，推动树立宪法法律至上、法律面前人人平等的法治理念。</w:t>
      </w:r>
    </w:p>
    <w:p w:rsidR="00B85713" w:rsidRDefault="00B51CF3">
      <w:pPr>
        <w:numPr>
          <w:ilvl w:val="0"/>
          <w:numId w:val="2"/>
        </w:numPr>
        <w:ind w:firstLine="64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完善法治舆论引导工作机制</w:t>
      </w:r>
    </w:p>
    <w:p w:rsidR="00A95C42" w:rsidRDefault="00B51CF3">
      <w:pPr>
        <w:ind w:firstLine="640"/>
        <w:rPr>
          <w:rFonts w:ascii="仿宋_GB2312" w:eastAsia="仿宋_GB2312" w:cs="Times New Roman"/>
          <w:kern w:val="0"/>
          <w:sz w:val="32"/>
          <w:szCs w:val="32"/>
        </w:rPr>
      </w:pPr>
      <w:r>
        <w:rPr>
          <w:rFonts w:ascii="仿宋_GB2312" w:eastAsia="仿宋_GB2312" w:cs="仿宋_GB2312" w:hint="eastAsia"/>
          <w:kern w:val="0"/>
          <w:sz w:val="32"/>
          <w:szCs w:val="32"/>
        </w:rPr>
        <w:t>各单位要在官方网站和微博、</w:t>
      </w:r>
      <w:proofErr w:type="gramStart"/>
      <w:r>
        <w:rPr>
          <w:rFonts w:ascii="仿宋_GB2312" w:eastAsia="仿宋_GB2312" w:cs="仿宋_GB2312" w:hint="eastAsia"/>
          <w:kern w:val="0"/>
          <w:sz w:val="32"/>
          <w:szCs w:val="32"/>
        </w:rPr>
        <w:t>微信等</w:t>
      </w:r>
      <w:proofErr w:type="gramEnd"/>
      <w:r>
        <w:rPr>
          <w:rFonts w:ascii="仿宋_GB2312" w:eastAsia="仿宋_GB2312" w:cs="仿宋_GB2312" w:hint="eastAsia"/>
          <w:kern w:val="0"/>
          <w:sz w:val="32"/>
          <w:szCs w:val="32"/>
        </w:rPr>
        <w:t>新媒体阵地开设法治宣传专栏，结合社会关注、群众关心的法律和政策问题做好宣传解读，专栏内容至少每周更新一次</w:t>
      </w:r>
      <w:r w:rsidR="00A95C42">
        <w:rPr>
          <w:rFonts w:ascii="仿宋_GB2312" w:eastAsia="仿宋_GB2312" w:cs="仿宋_GB2312" w:hint="eastAsia"/>
          <w:kern w:val="0"/>
          <w:sz w:val="32"/>
          <w:szCs w:val="32"/>
        </w:rPr>
        <w:t>。</w:t>
      </w:r>
      <w:r>
        <w:rPr>
          <w:rFonts w:ascii="仿宋_GB2312" w:eastAsia="仿宋_GB2312" w:cs="仿宋_GB2312" w:hint="eastAsia"/>
          <w:kern w:val="0"/>
          <w:sz w:val="32"/>
          <w:szCs w:val="32"/>
        </w:rPr>
        <w:t>针对网络热点法治事件和社会关切的法治问题，要及时组织执法人员和专家学者进行权威法律解读，引导公众依法理性表达利益诉求、解决矛盾纠纷，提高运用新媒体引导法治舆论能力。</w:t>
      </w:r>
    </w:p>
    <w:p w:rsidR="00B85713" w:rsidRDefault="000B0814">
      <w:pPr>
        <w:numPr>
          <w:ilvl w:val="0"/>
          <w:numId w:val="2"/>
        </w:numPr>
        <w:ind w:firstLine="64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加强普法工作信息化建设</w:t>
      </w:r>
    </w:p>
    <w:p w:rsidR="00B85713" w:rsidRPr="000B0814" w:rsidRDefault="000B0814" w:rsidP="000B0814">
      <w:pPr>
        <w:ind w:firstLine="640"/>
        <w:rPr>
          <w:rFonts w:ascii="仿宋_GB2312" w:eastAsia="仿宋_GB2312" w:cs="仿宋_GB2312"/>
          <w:kern w:val="0"/>
          <w:sz w:val="32"/>
          <w:szCs w:val="32"/>
        </w:rPr>
      </w:pPr>
      <w:r>
        <w:rPr>
          <w:rFonts w:ascii="仿宋_GB2312" w:eastAsia="仿宋_GB2312" w:cs="仿宋_GB2312" w:hint="eastAsia"/>
          <w:kern w:val="0"/>
          <w:sz w:val="32"/>
          <w:szCs w:val="32"/>
        </w:rPr>
        <w:t>各单位要</w:t>
      </w:r>
      <w:proofErr w:type="gramStart"/>
      <w:r>
        <w:rPr>
          <w:rFonts w:ascii="仿宋_GB2312" w:eastAsia="仿宋_GB2312" w:cs="仿宋_GB2312" w:hint="eastAsia"/>
          <w:kern w:val="0"/>
          <w:sz w:val="32"/>
          <w:szCs w:val="32"/>
        </w:rPr>
        <w:t>借助市</w:t>
      </w:r>
      <w:proofErr w:type="gramEnd"/>
      <w:r>
        <w:rPr>
          <w:rFonts w:ascii="仿宋_GB2312" w:eastAsia="仿宋_GB2312" w:cs="仿宋_GB2312" w:hint="eastAsia"/>
          <w:kern w:val="0"/>
          <w:sz w:val="32"/>
          <w:szCs w:val="32"/>
        </w:rPr>
        <w:t>法宣办的工作平台，充分运用信息化手段，了解、学习、借鉴兄弟单位普法信息化工作经验做法，着力推进完善本单位、本部门普法信息化工作机制和模式，及时上报本单位、本部门普法工作信息，积极主动地</w:t>
      </w:r>
      <w:proofErr w:type="gramStart"/>
      <w:r>
        <w:rPr>
          <w:rFonts w:ascii="仿宋_GB2312" w:eastAsia="仿宋_GB2312" w:cs="仿宋_GB2312" w:hint="eastAsia"/>
          <w:kern w:val="0"/>
          <w:sz w:val="32"/>
          <w:szCs w:val="32"/>
        </w:rPr>
        <w:t>溶图全市</w:t>
      </w:r>
      <w:proofErr w:type="gramEnd"/>
      <w:r>
        <w:rPr>
          <w:rFonts w:ascii="仿宋_GB2312" w:eastAsia="仿宋_GB2312" w:cs="仿宋_GB2312" w:hint="eastAsia"/>
          <w:kern w:val="0"/>
          <w:sz w:val="32"/>
          <w:szCs w:val="32"/>
        </w:rPr>
        <w:t>普法信息化格局，为实现“智慧普法”汇聚数据、夯实基础。</w:t>
      </w:r>
    </w:p>
    <w:p w:rsidR="00B85713" w:rsidRDefault="00B243BC">
      <w:pPr>
        <w:numPr>
          <w:ilvl w:val="0"/>
          <w:numId w:val="1"/>
        </w:numPr>
        <w:ind w:firstLineChars="200" w:firstLine="643"/>
        <w:rPr>
          <w:rFonts w:ascii="黑体" w:eastAsia="黑体" w:hAnsi="黑体" w:cs="Times New Roman"/>
          <w:b/>
          <w:bCs/>
          <w:sz w:val="32"/>
          <w:szCs w:val="32"/>
        </w:rPr>
      </w:pPr>
      <w:r>
        <w:rPr>
          <w:rFonts w:ascii="黑体" w:eastAsia="黑体" w:hAnsi="黑体" w:cs="黑体" w:hint="eastAsia"/>
          <w:b/>
          <w:bCs/>
          <w:sz w:val="32"/>
          <w:szCs w:val="32"/>
        </w:rPr>
        <w:t>重点普法对象</w:t>
      </w:r>
    </w:p>
    <w:p w:rsidR="00B85713" w:rsidRDefault="000B0814">
      <w:pPr>
        <w:numPr>
          <w:ilvl w:val="0"/>
          <w:numId w:val="3"/>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国家工作人员</w:t>
      </w:r>
      <w:r w:rsidR="00B243BC">
        <w:rPr>
          <w:rFonts w:ascii="仿宋_GB2312" w:eastAsia="仿宋_GB2312" w:hAnsi="仿宋_GB2312" w:cs="仿宋_GB2312" w:hint="eastAsia"/>
          <w:sz w:val="32"/>
          <w:szCs w:val="32"/>
        </w:rPr>
        <w:t>。</w:t>
      </w:r>
    </w:p>
    <w:p w:rsidR="00B85713" w:rsidRPr="0083096A" w:rsidRDefault="000B0814" w:rsidP="0083096A">
      <w:pPr>
        <w:numPr>
          <w:ilvl w:val="0"/>
          <w:numId w:val="3"/>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社会公众</w:t>
      </w:r>
      <w:r w:rsidR="00B243BC">
        <w:rPr>
          <w:rFonts w:ascii="仿宋_GB2312" w:eastAsia="仿宋_GB2312" w:hAnsi="仿宋_GB2312" w:cs="仿宋_GB2312" w:hint="eastAsia"/>
          <w:sz w:val="32"/>
          <w:szCs w:val="32"/>
        </w:rPr>
        <w:t>。</w:t>
      </w:r>
    </w:p>
    <w:sectPr w:rsidR="00B85713" w:rsidRPr="0083096A" w:rsidSect="00B857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720" w:rsidRDefault="00797720" w:rsidP="00D6660A">
      <w:r>
        <w:separator/>
      </w:r>
    </w:p>
  </w:endnote>
  <w:endnote w:type="continuationSeparator" w:id="0">
    <w:p w:rsidR="00797720" w:rsidRDefault="00797720" w:rsidP="00D666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720" w:rsidRDefault="00797720" w:rsidP="00D6660A">
      <w:r>
        <w:separator/>
      </w:r>
    </w:p>
  </w:footnote>
  <w:footnote w:type="continuationSeparator" w:id="0">
    <w:p w:rsidR="00797720" w:rsidRDefault="00797720" w:rsidP="00D666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1AB25B"/>
    <w:multiLevelType w:val="singleLevel"/>
    <w:tmpl w:val="BB1AB25B"/>
    <w:lvl w:ilvl="0">
      <w:start w:val="2"/>
      <w:numFmt w:val="chineseCounting"/>
      <w:suff w:val="nothing"/>
      <w:lvlText w:val="%1、"/>
      <w:lvlJc w:val="left"/>
      <w:rPr>
        <w:rFonts w:hint="eastAsia"/>
      </w:rPr>
    </w:lvl>
  </w:abstractNum>
  <w:abstractNum w:abstractNumId="1">
    <w:nsid w:val="FF20C77D"/>
    <w:multiLevelType w:val="singleLevel"/>
    <w:tmpl w:val="FF20C77D"/>
    <w:lvl w:ilvl="0">
      <w:start w:val="1"/>
      <w:numFmt w:val="chineseCounting"/>
      <w:suff w:val="nothing"/>
      <w:lvlText w:val="（%1）"/>
      <w:lvlJc w:val="left"/>
      <w:rPr>
        <w:rFonts w:hint="eastAsia"/>
      </w:rPr>
    </w:lvl>
  </w:abstractNum>
  <w:abstractNum w:abstractNumId="2">
    <w:nsid w:val="06B170A5"/>
    <w:multiLevelType w:val="hybridMultilevel"/>
    <w:tmpl w:val="0616EA78"/>
    <w:lvl w:ilvl="0" w:tplc="5EB48662">
      <w:start w:val="11"/>
      <w:numFmt w:val="decimal"/>
      <w:lvlText w:val="%1、"/>
      <w:lvlJc w:val="left"/>
      <w:pPr>
        <w:ind w:left="720" w:hanging="720"/>
      </w:pPr>
      <w:rPr>
        <w:rFonts w:hAnsi="仿宋_GB2312"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B5631"/>
    <w:multiLevelType w:val="hybridMultilevel"/>
    <w:tmpl w:val="88F0FD3E"/>
    <w:lvl w:ilvl="0" w:tplc="3DA42EBE">
      <w:start w:val="11"/>
      <w:numFmt w:val="decimal"/>
      <w:lvlText w:val="%1、"/>
      <w:lvlJc w:val="left"/>
      <w:pPr>
        <w:ind w:left="720" w:hanging="720"/>
      </w:pPr>
      <w:rPr>
        <w:rFonts w:hAnsi="仿宋_GB2312"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1B489DF"/>
    <w:multiLevelType w:val="singleLevel"/>
    <w:tmpl w:val="51B489DF"/>
    <w:lvl w:ilvl="0">
      <w:start w:val="1"/>
      <w:numFmt w:val="chineseCounting"/>
      <w:suff w:val="nothing"/>
      <w:lvlText w:val="（%1）"/>
      <w:lvlJc w:val="left"/>
      <w:rPr>
        <w:rFonts w:hint="eastAsia"/>
      </w:rPr>
    </w:lvl>
  </w:abstractNum>
  <w:abstractNum w:abstractNumId="5">
    <w:nsid w:val="6A36602C"/>
    <w:multiLevelType w:val="hybridMultilevel"/>
    <w:tmpl w:val="CC4034C2"/>
    <w:lvl w:ilvl="0" w:tplc="E196B148">
      <w:start w:val="11"/>
      <w:numFmt w:val="decimal"/>
      <w:lvlText w:val="%1、"/>
      <w:lvlJc w:val="left"/>
      <w:pPr>
        <w:ind w:left="1363" w:hanging="720"/>
      </w:pPr>
      <w:rPr>
        <w:rFonts w:hAnsi="仿宋_GB2312" w:cs="仿宋_GB2312"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261A"/>
    <w:rsid w:val="00003AD8"/>
    <w:rsid w:val="00041627"/>
    <w:rsid w:val="00073ADD"/>
    <w:rsid w:val="000B0814"/>
    <w:rsid w:val="000B654D"/>
    <w:rsid w:val="000C0814"/>
    <w:rsid w:val="000F4435"/>
    <w:rsid w:val="00102067"/>
    <w:rsid w:val="001350D4"/>
    <w:rsid w:val="00136536"/>
    <w:rsid w:val="00202D30"/>
    <w:rsid w:val="00236B04"/>
    <w:rsid w:val="002412AC"/>
    <w:rsid w:val="00245294"/>
    <w:rsid w:val="0031178D"/>
    <w:rsid w:val="00327AB7"/>
    <w:rsid w:val="00327F85"/>
    <w:rsid w:val="00383065"/>
    <w:rsid w:val="003E4448"/>
    <w:rsid w:val="004173AD"/>
    <w:rsid w:val="00451E1C"/>
    <w:rsid w:val="00483FE8"/>
    <w:rsid w:val="00486DF5"/>
    <w:rsid w:val="00492394"/>
    <w:rsid w:val="004C4009"/>
    <w:rsid w:val="005073F9"/>
    <w:rsid w:val="00512887"/>
    <w:rsid w:val="005617F7"/>
    <w:rsid w:val="00566563"/>
    <w:rsid w:val="0066261A"/>
    <w:rsid w:val="0067623E"/>
    <w:rsid w:val="006917A4"/>
    <w:rsid w:val="006D5E1E"/>
    <w:rsid w:val="00751629"/>
    <w:rsid w:val="007641E3"/>
    <w:rsid w:val="00797720"/>
    <w:rsid w:val="007D0919"/>
    <w:rsid w:val="007D2C34"/>
    <w:rsid w:val="00817BE0"/>
    <w:rsid w:val="0083096A"/>
    <w:rsid w:val="00850635"/>
    <w:rsid w:val="00863DE9"/>
    <w:rsid w:val="0086703A"/>
    <w:rsid w:val="00877E70"/>
    <w:rsid w:val="0089010C"/>
    <w:rsid w:val="008D1D9C"/>
    <w:rsid w:val="0091774C"/>
    <w:rsid w:val="00945A64"/>
    <w:rsid w:val="009B4A3E"/>
    <w:rsid w:val="009D4960"/>
    <w:rsid w:val="009F0CE9"/>
    <w:rsid w:val="00A24BDC"/>
    <w:rsid w:val="00A65A63"/>
    <w:rsid w:val="00A95C42"/>
    <w:rsid w:val="00AF455E"/>
    <w:rsid w:val="00B23B8B"/>
    <w:rsid w:val="00B243BC"/>
    <w:rsid w:val="00B51CF3"/>
    <w:rsid w:val="00B77A6D"/>
    <w:rsid w:val="00B85713"/>
    <w:rsid w:val="00BA4AB2"/>
    <w:rsid w:val="00BB34CE"/>
    <w:rsid w:val="00BE14C0"/>
    <w:rsid w:val="00C26266"/>
    <w:rsid w:val="00C64EBB"/>
    <w:rsid w:val="00C833E3"/>
    <w:rsid w:val="00C96FBA"/>
    <w:rsid w:val="00D6660A"/>
    <w:rsid w:val="00D752F9"/>
    <w:rsid w:val="00D75FBD"/>
    <w:rsid w:val="00D766DB"/>
    <w:rsid w:val="00E12BF2"/>
    <w:rsid w:val="00E523EE"/>
    <w:rsid w:val="00E67C8B"/>
    <w:rsid w:val="00E82D97"/>
    <w:rsid w:val="00EC372E"/>
    <w:rsid w:val="00EC7FB3"/>
    <w:rsid w:val="00F04CB8"/>
    <w:rsid w:val="00F3618A"/>
    <w:rsid w:val="00F90661"/>
    <w:rsid w:val="00FA3D4E"/>
    <w:rsid w:val="00FD0036"/>
    <w:rsid w:val="00FF5040"/>
    <w:rsid w:val="033A1662"/>
    <w:rsid w:val="06FC0C5D"/>
    <w:rsid w:val="070A0FCB"/>
    <w:rsid w:val="075E623C"/>
    <w:rsid w:val="07D76E15"/>
    <w:rsid w:val="0A8F5672"/>
    <w:rsid w:val="0B301B2B"/>
    <w:rsid w:val="0C557750"/>
    <w:rsid w:val="0C5755F4"/>
    <w:rsid w:val="0D4F31E3"/>
    <w:rsid w:val="0D925318"/>
    <w:rsid w:val="0E7C416F"/>
    <w:rsid w:val="0EB8249A"/>
    <w:rsid w:val="0F3237A5"/>
    <w:rsid w:val="10B91ED9"/>
    <w:rsid w:val="16A656B2"/>
    <w:rsid w:val="173F5CE8"/>
    <w:rsid w:val="17B52919"/>
    <w:rsid w:val="18124653"/>
    <w:rsid w:val="19676064"/>
    <w:rsid w:val="1E5D2420"/>
    <w:rsid w:val="22176997"/>
    <w:rsid w:val="22A41983"/>
    <w:rsid w:val="234D5D63"/>
    <w:rsid w:val="26A52CBA"/>
    <w:rsid w:val="270B0ED2"/>
    <w:rsid w:val="274A245B"/>
    <w:rsid w:val="28E77B24"/>
    <w:rsid w:val="290D3172"/>
    <w:rsid w:val="29FC69A4"/>
    <w:rsid w:val="2AE34E48"/>
    <w:rsid w:val="2B6A0DA3"/>
    <w:rsid w:val="2D11413D"/>
    <w:rsid w:val="30EB26A1"/>
    <w:rsid w:val="36DA643C"/>
    <w:rsid w:val="377A27F9"/>
    <w:rsid w:val="3892402D"/>
    <w:rsid w:val="3ABB5E73"/>
    <w:rsid w:val="3F9A6303"/>
    <w:rsid w:val="41795690"/>
    <w:rsid w:val="4335735C"/>
    <w:rsid w:val="436F3EA5"/>
    <w:rsid w:val="46DC32A4"/>
    <w:rsid w:val="47F6622C"/>
    <w:rsid w:val="492C5EC3"/>
    <w:rsid w:val="49D62CED"/>
    <w:rsid w:val="4C3B486E"/>
    <w:rsid w:val="4F0703B6"/>
    <w:rsid w:val="51B7016C"/>
    <w:rsid w:val="52342F19"/>
    <w:rsid w:val="534439AF"/>
    <w:rsid w:val="587402B0"/>
    <w:rsid w:val="59816A0B"/>
    <w:rsid w:val="5D04440A"/>
    <w:rsid w:val="5E3D14C6"/>
    <w:rsid w:val="5EFD0B62"/>
    <w:rsid w:val="60C23DED"/>
    <w:rsid w:val="62CB2E8A"/>
    <w:rsid w:val="64670289"/>
    <w:rsid w:val="6606689D"/>
    <w:rsid w:val="6861357C"/>
    <w:rsid w:val="69053FEE"/>
    <w:rsid w:val="6ACE64C8"/>
    <w:rsid w:val="6B0D6562"/>
    <w:rsid w:val="6B580129"/>
    <w:rsid w:val="6BFD2A4C"/>
    <w:rsid w:val="6EE22112"/>
    <w:rsid w:val="70245861"/>
    <w:rsid w:val="72804575"/>
    <w:rsid w:val="75AA7367"/>
    <w:rsid w:val="79C96436"/>
    <w:rsid w:val="7A301728"/>
    <w:rsid w:val="7A662120"/>
    <w:rsid w:val="7B492B1E"/>
    <w:rsid w:val="7B8D4ACB"/>
    <w:rsid w:val="7EC515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713"/>
    <w:pPr>
      <w:widowControl w:val="0"/>
      <w:jc w:val="both"/>
    </w:pPr>
    <w:rPr>
      <w:rFonts w:ascii="Calibri" w:hAnsi="Calibri" w:cs="Calibri"/>
      <w:kern w:val="2"/>
      <w:sz w:val="21"/>
      <w:szCs w:val="21"/>
    </w:rPr>
  </w:style>
  <w:style w:type="paragraph" w:styleId="1">
    <w:name w:val="heading 1"/>
    <w:basedOn w:val="a"/>
    <w:next w:val="a"/>
    <w:link w:val="1Char"/>
    <w:uiPriority w:val="99"/>
    <w:qFormat/>
    <w:rsid w:val="00B85713"/>
    <w:pPr>
      <w:spacing w:beforeAutospacing="1" w:afterAutospacing="1"/>
      <w:jc w:val="left"/>
      <w:outlineLvl w:val="0"/>
    </w:pPr>
    <w:rPr>
      <w:rFonts w:ascii="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B85713"/>
    <w:rPr>
      <w:sz w:val="18"/>
      <w:szCs w:val="18"/>
    </w:rPr>
  </w:style>
  <w:style w:type="paragraph" w:styleId="a4">
    <w:name w:val="footer"/>
    <w:basedOn w:val="a"/>
    <w:link w:val="Char0"/>
    <w:uiPriority w:val="99"/>
    <w:qFormat/>
    <w:rsid w:val="00B85713"/>
    <w:pPr>
      <w:tabs>
        <w:tab w:val="center" w:pos="4153"/>
        <w:tab w:val="right" w:pos="8306"/>
      </w:tabs>
      <w:snapToGrid w:val="0"/>
      <w:jc w:val="left"/>
    </w:pPr>
    <w:rPr>
      <w:sz w:val="18"/>
      <w:szCs w:val="18"/>
    </w:rPr>
  </w:style>
  <w:style w:type="paragraph" w:styleId="a5">
    <w:name w:val="header"/>
    <w:basedOn w:val="a"/>
    <w:link w:val="Char1"/>
    <w:uiPriority w:val="99"/>
    <w:qFormat/>
    <w:rsid w:val="00B85713"/>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9"/>
    <w:qFormat/>
    <w:locked/>
    <w:rsid w:val="00B85713"/>
    <w:rPr>
      <w:rFonts w:ascii="Calibri" w:hAnsi="Calibri" w:cs="Calibri"/>
      <w:b/>
      <w:bCs/>
      <w:kern w:val="44"/>
      <w:sz w:val="44"/>
      <w:szCs w:val="44"/>
    </w:rPr>
  </w:style>
  <w:style w:type="character" w:customStyle="1" w:styleId="Char1">
    <w:name w:val="页眉 Char"/>
    <w:basedOn w:val="a0"/>
    <w:link w:val="a5"/>
    <w:uiPriority w:val="99"/>
    <w:qFormat/>
    <w:locked/>
    <w:rsid w:val="00B85713"/>
    <w:rPr>
      <w:rFonts w:ascii="Calibri" w:eastAsia="宋体" w:hAnsi="Calibri" w:cs="Calibri"/>
      <w:kern w:val="2"/>
      <w:sz w:val="18"/>
      <w:szCs w:val="18"/>
    </w:rPr>
  </w:style>
  <w:style w:type="character" w:customStyle="1" w:styleId="Char0">
    <w:name w:val="页脚 Char"/>
    <w:basedOn w:val="a0"/>
    <w:link w:val="a4"/>
    <w:uiPriority w:val="99"/>
    <w:qFormat/>
    <w:locked/>
    <w:rsid w:val="00B85713"/>
    <w:rPr>
      <w:rFonts w:ascii="Calibri" w:eastAsia="宋体" w:hAnsi="Calibri" w:cs="Calibri"/>
      <w:kern w:val="2"/>
      <w:sz w:val="18"/>
      <w:szCs w:val="18"/>
    </w:rPr>
  </w:style>
  <w:style w:type="character" w:customStyle="1" w:styleId="Char">
    <w:name w:val="批注框文本 Char"/>
    <w:basedOn w:val="a0"/>
    <w:link w:val="a3"/>
    <w:uiPriority w:val="99"/>
    <w:semiHidden/>
    <w:qFormat/>
    <w:locked/>
    <w:rsid w:val="00B85713"/>
    <w:rPr>
      <w:rFonts w:ascii="Calibri" w:hAnsi="Calibri" w:cs="Calibri"/>
      <w:sz w:val="2"/>
      <w:szCs w:val="2"/>
    </w:rPr>
  </w:style>
  <w:style w:type="paragraph" w:styleId="a6">
    <w:name w:val="List Paragraph"/>
    <w:basedOn w:val="a"/>
    <w:uiPriority w:val="99"/>
    <w:unhideWhenUsed/>
    <w:rsid w:val="00512887"/>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c:creator>
  <cp:lastModifiedBy>user</cp:lastModifiedBy>
  <cp:revision>5</cp:revision>
  <cp:lastPrinted>2018-04-03T07:32:00Z</cp:lastPrinted>
  <dcterms:created xsi:type="dcterms:W3CDTF">2018-12-18T07:03:00Z</dcterms:created>
  <dcterms:modified xsi:type="dcterms:W3CDTF">2018-12-20T08:32:00Z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