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840CB9">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ascii="仿宋" w:hAnsi="仿宋" w:eastAsia="仿宋" w:cs="仿宋"/>
          <w:kern w:val="2"/>
          <w:sz w:val="36"/>
          <w:szCs w:val="36"/>
        </w:rPr>
      </w:pPr>
      <w:r>
        <w:rPr>
          <w:rFonts w:hint="eastAsia" w:ascii="仿宋" w:hAnsi="仿宋" w:eastAsia="仿宋" w:cs="仿宋"/>
          <w:kern w:val="2"/>
          <w:sz w:val="36"/>
          <w:szCs w:val="36"/>
        </w:rPr>
        <w:t>上海市普陀大道商事调解中心</w:t>
      </w:r>
    </w:p>
    <w:p w14:paraId="2057E036">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ascii="仿宋" w:hAnsi="仿宋" w:eastAsia="仿宋" w:cs="仿宋"/>
          <w:kern w:val="2"/>
          <w:sz w:val="36"/>
          <w:szCs w:val="36"/>
          <w:lang w:val="en-US" w:eastAsia="zh-CN"/>
        </w:rPr>
      </w:pPr>
      <w:r>
        <w:rPr>
          <w:rFonts w:hint="eastAsia" w:ascii="仿宋" w:hAnsi="仿宋" w:eastAsia="仿宋" w:cs="仿宋"/>
          <w:kern w:val="2"/>
          <w:sz w:val="36"/>
          <w:szCs w:val="36"/>
        </w:rPr>
        <w:t>调解</w:t>
      </w:r>
      <w:r>
        <w:rPr>
          <w:rFonts w:hint="eastAsia" w:ascii="仿宋" w:hAnsi="仿宋" w:eastAsia="仿宋" w:cs="仿宋"/>
          <w:kern w:val="2"/>
          <w:sz w:val="36"/>
          <w:szCs w:val="36"/>
          <w:lang w:val="en-US" w:eastAsia="zh-CN"/>
        </w:rPr>
        <w:t>收费办法</w:t>
      </w:r>
    </w:p>
    <w:p w14:paraId="66D5FC3B">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both"/>
        <w:textAlignment w:val="auto"/>
        <w:rPr>
          <w:rFonts w:hint="eastAsia" w:ascii="仿宋" w:hAnsi="仿宋" w:eastAsia="仿宋" w:cs="仿宋"/>
          <w:kern w:val="2"/>
          <w:sz w:val="28"/>
          <w:szCs w:val="28"/>
          <w:lang w:val="en-US" w:eastAsia="zh-CN"/>
        </w:rPr>
      </w:pPr>
    </w:p>
    <w:p w14:paraId="4E94EB83">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一、总则</w:t>
      </w:r>
    </w:p>
    <w:p w14:paraId="473D7A93">
      <w:pPr>
        <w:pStyle w:val="6"/>
        <w:keepNext w:val="0"/>
        <w:keepLines w:val="0"/>
        <w:pageBreakBefore w:val="0"/>
        <w:kinsoku/>
        <w:wordWrap/>
        <w:overflowPunct/>
        <w:topLinePunct w:val="0"/>
        <w:autoSpaceDE/>
        <w:autoSpaceDN/>
        <w:bidi w:val="0"/>
        <w:adjustRightInd/>
        <w:snapToGrid/>
        <w:spacing w:line="360" w:lineRule="auto"/>
        <w:ind w:left="57" w:leftChars="27" w:right="0" w:rightChars="0" w:firstLine="0" w:firstLineChars="0"/>
        <w:textAlignment w:val="auto"/>
        <w:rPr>
          <w:rFonts w:hint="eastAsia" w:ascii="仿宋" w:hAnsi="仿宋" w:eastAsia="仿宋" w:cs="仿宋"/>
          <w:b w:val="0"/>
          <w:bCs w:val="0"/>
          <w:sz w:val="28"/>
          <w:szCs w:val="28"/>
          <w:lang w:val="en-US" w:eastAsia="zh-CN"/>
        </w:rPr>
      </w:pPr>
      <w:r>
        <w:rPr>
          <w:rFonts w:hint="eastAsia" w:ascii="仿宋" w:hAnsi="仿宋" w:eastAsia="仿宋" w:cs="仿宋"/>
          <w:b/>
          <w:bCs/>
          <w:sz w:val="28"/>
          <w:szCs w:val="28"/>
        </w:rPr>
        <w:t>第一条</w:t>
      </w:r>
      <w:r>
        <w:rPr>
          <w:rFonts w:hint="eastAsia" w:ascii="仿宋" w:hAnsi="仿宋" w:eastAsia="仿宋" w:cs="仿宋"/>
          <w:b/>
          <w:bCs/>
          <w:sz w:val="28"/>
          <w:szCs w:val="28"/>
          <w:lang w:val="en-US" w:eastAsia="zh-CN"/>
        </w:rPr>
        <w:t xml:space="preserve"> </w:t>
      </w:r>
      <w:r>
        <w:rPr>
          <w:rFonts w:hint="eastAsia" w:ascii="仿宋" w:hAnsi="仿宋" w:eastAsia="仿宋" w:cs="仿宋"/>
          <w:sz w:val="28"/>
          <w:szCs w:val="28"/>
        </w:rPr>
        <w:t>为保证</w:t>
      </w:r>
      <w:r>
        <w:rPr>
          <w:rFonts w:hint="eastAsia" w:ascii="仿宋" w:hAnsi="仿宋" w:eastAsia="仿宋" w:cs="仿宋"/>
          <w:sz w:val="28"/>
          <w:szCs w:val="28"/>
          <w:lang w:val="en-US" w:eastAsia="zh-CN"/>
        </w:rPr>
        <w:t>本中心的</w:t>
      </w:r>
      <w:r>
        <w:rPr>
          <w:rFonts w:hint="eastAsia" w:ascii="仿宋" w:hAnsi="仿宋" w:eastAsia="仿宋" w:cs="仿宋"/>
          <w:sz w:val="28"/>
          <w:szCs w:val="28"/>
        </w:rPr>
        <w:t>调解活动规范、有序、公正、高效地进行，帮助当事人妥善解决争议，</w:t>
      </w:r>
      <w:r>
        <w:rPr>
          <w:rFonts w:hint="eastAsia" w:ascii="仿宋" w:hAnsi="仿宋" w:eastAsia="仿宋" w:cs="仿宋"/>
          <w:sz w:val="28"/>
          <w:szCs w:val="28"/>
          <w:lang w:val="en-US" w:eastAsia="zh-CN"/>
        </w:rPr>
        <w:t>根据本中心调解规则，当事人在本调解中心进行争议调解的，应向本中心交纳调解处理费用。</w:t>
      </w:r>
    </w:p>
    <w:p w14:paraId="21D0BF1E">
      <w:pPr>
        <w:pStyle w:val="6"/>
        <w:keepNext w:val="0"/>
        <w:keepLines w:val="0"/>
        <w:pageBreakBefore w:val="0"/>
        <w:kinsoku/>
        <w:wordWrap/>
        <w:overflowPunct/>
        <w:topLinePunct w:val="0"/>
        <w:autoSpaceDE/>
        <w:autoSpaceDN/>
        <w:bidi w:val="0"/>
        <w:adjustRightInd/>
        <w:snapToGrid/>
        <w:spacing w:line="360" w:lineRule="auto"/>
        <w:ind w:left="57" w:leftChars="27"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rPr>
        <w:t>第二条</w:t>
      </w:r>
      <w:r>
        <w:rPr>
          <w:rFonts w:hint="eastAsia" w:ascii="仿宋" w:hAnsi="仿宋" w:eastAsia="仿宋" w:cs="仿宋"/>
          <w:b/>
          <w:bCs/>
          <w:sz w:val="28"/>
          <w:szCs w:val="28"/>
          <w:lang w:val="en-US" w:eastAsia="zh-CN"/>
        </w:rPr>
        <w:t xml:space="preserve"> </w:t>
      </w:r>
      <w:r>
        <w:rPr>
          <w:rFonts w:hint="eastAsia" w:ascii="仿宋" w:hAnsi="仿宋" w:eastAsia="仿宋" w:cs="仿宋"/>
          <w:b w:val="0"/>
          <w:bCs w:val="0"/>
          <w:sz w:val="28"/>
          <w:szCs w:val="28"/>
          <w:lang w:val="en-US" w:eastAsia="zh-CN"/>
        </w:rPr>
        <w:t>本中心调解收费由申请费与调解处理费两部分构成，</w:t>
      </w:r>
      <w:r>
        <w:rPr>
          <w:rFonts w:hint="eastAsia" w:ascii="仿宋" w:hAnsi="仿宋" w:eastAsia="仿宋" w:cs="仿宋"/>
          <w:sz w:val="28"/>
          <w:szCs w:val="28"/>
          <w:lang w:eastAsia="zh-CN"/>
        </w:rPr>
        <w:t>调解处理费</w:t>
      </w:r>
      <w:r>
        <w:rPr>
          <w:rFonts w:hint="eastAsia" w:ascii="仿宋" w:hAnsi="仿宋" w:eastAsia="仿宋" w:cs="仿宋"/>
          <w:sz w:val="28"/>
          <w:szCs w:val="28"/>
        </w:rPr>
        <w:t>用</w:t>
      </w:r>
      <w:r>
        <w:rPr>
          <w:rFonts w:hint="eastAsia" w:ascii="仿宋" w:hAnsi="仿宋" w:eastAsia="仿宋" w:cs="仿宋"/>
          <w:sz w:val="28"/>
          <w:szCs w:val="28"/>
          <w:lang w:val="en-US" w:eastAsia="zh-CN"/>
        </w:rPr>
        <w:t>原则上应按比例或约定由当事人分担。</w:t>
      </w:r>
    </w:p>
    <w:p w14:paraId="01AF5BF5">
      <w:pPr>
        <w:pStyle w:val="6"/>
        <w:keepNext w:val="0"/>
        <w:keepLines w:val="0"/>
        <w:pageBreakBefore w:val="0"/>
        <w:kinsoku/>
        <w:wordWrap/>
        <w:overflowPunct/>
        <w:topLinePunct w:val="0"/>
        <w:autoSpaceDE/>
        <w:autoSpaceDN/>
        <w:bidi w:val="0"/>
        <w:adjustRightInd/>
        <w:snapToGrid/>
        <w:spacing w:line="360" w:lineRule="auto"/>
        <w:ind w:left="57" w:leftChars="27" w:right="0" w:rightChars="0" w:firstLine="0" w:firstLineChars="0"/>
        <w:textAlignment w:val="auto"/>
        <w:rPr>
          <w:rFonts w:hint="eastAsia" w:ascii="仿宋" w:hAnsi="仿宋" w:eastAsia="仿宋" w:cs="仿宋"/>
          <w:sz w:val="28"/>
          <w:szCs w:val="28"/>
          <w:lang w:val="en-US" w:eastAsia="zh-CN"/>
        </w:rPr>
      </w:pPr>
    </w:p>
    <w:p w14:paraId="52EA5453">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二、自收调解案件</w:t>
      </w:r>
    </w:p>
    <w:p w14:paraId="566B9B3A">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第三条</w:t>
      </w:r>
      <w:r>
        <w:rPr>
          <w:rFonts w:hint="eastAsia" w:ascii="仿宋" w:hAnsi="仿宋" w:eastAsia="仿宋" w:cs="仿宋"/>
          <w:sz w:val="28"/>
          <w:szCs w:val="28"/>
          <w:lang w:val="en-US" w:eastAsia="zh-CN"/>
        </w:rPr>
        <w:t xml:space="preserve"> 当事人主动向本中心申请进行案件争议调解的，申请费为500元/件，申请费可抵扣调解处理费，由申请人先行支付，该申请费不因任何原因退还，特殊情况经本中心批准的除外。</w:t>
      </w:r>
    </w:p>
    <w:p w14:paraId="6EA60A48">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第四条</w:t>
      </w:r>
      <w:r>
        <w:rPr>
          <w:rFonts w:hint="eastAsia" w:ascii="仿宋" w:hAnsi="仿宋" w:eastAsia="仿宋" w:cs="仿宋"/>
          <w:sz w:val="28"/>
          <w:szCs w:val="28"/>
          <w:lang w:val="en-US" w:eastAsia="zh-CN"/>
        </w:rPr>
        <w:t xml:space="preserve"> 调解处理费按照争议标的金额按照一定的比例收取，申请人应自收到本调解中心缴费通知之日起5日内将相应费用交纳至本调解中心指定账户。</w:t>
      </w:r>
      <w:bookmarkStart w:id="0" w:name="_GoBack"/>
      <w:bookmarkEnd w:id="0"/>
    </w:p>
    <w:p w14:paraId="227486AC">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第五条</w:t>
      </w:r>
      <w:r>
        <w:rPr>
          <w:rFonts w:hint="eastAsia" w:ascii="仿宋" w:hAnsi="仿宋" w:eastAsia="仿宋" w:cs="仿宋"/>
          <w:sz w:val="28"/>
          <w:szCs w:val="28"/>
          <w:lang w:val="en-US" w:eastAsia="zh-CN"/>
        </w:rPr>
        <w:t xml:space="preserve"> 根据案件争议标的金额，按照下列比例分段累计计收调解费：</w:t>
      </w:r>
    </w:p>
    <w:p w14:paraId="718F66B0">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①48000元以下（含48000元的），每件交纳500元；</w:t>
      </w:r>
    </w:p>
    <w:p w14:paraId="2866EA22">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②超过48000元至10万元的部分，按照1.25%计算；</w:t>
      </w:r>
    </w:p>
    <w:p w14:paraId="6DDFBBC1">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③超过10万元至20万元的部分，按照1%计算；</w:t>
      </w:r>
    </w:p>
    <w:p w14:paraId="255DD6E9">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④超过20万元至50万元的部分，按照0.75%计算；</w:t>
      </w:r>
    </w:p>
    <w:p w14:paraId="3042AB6D">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⑤超过50万元至100万元的部分，按照0.5%计算；</w:t>
      </w:r>
    </w:p>
    <w:p w14:paraId="507569B6">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⑥超过100万元至200万元的部分，按照0.45%计算；</w:t>
      </w:r>
    </w:p>
    <w:p w14:paraId="11112688">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⑦超过200万元至500万元的部分，按照0.4%计算；</w:t>
      </w:r>
    </w:p>
    <w:p w14:paraId="2FDD6930">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⑧超过500万元至1000万元的部分，按照0.35%计算；</w:t>
      </w:r>
    </w:p>
    <w:p w14:paraId="1E11D3F2">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⑨超过1000万元至2000万元的部分，按照0.3%计算；</w:t>
      </w:r>
    </w:p>
    <w:p w14:paraId="37225F03">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⑩超过2000万元的部分，按照0.25%计算。</w:t>
      </w:r>
    </w:p>
    <w:p w14:paraId="6FD38787">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p>
    <w:p w14:paraId="6EF2FF62">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center"/>
        <w:textAlignment w:val="auto"/>
        <w:rPr>
          <w:rFonts w:hint="eastAsia" w:ascii="仿宋" w:hAnsi="仿宋" w:eastAsia="仿宋" w:cs="仿宋"/>
          <w:kern w:val="2"/>
          <w:sz w:val="28"/>
          <w:szCs w:val="28"/>
          <w:lang w:val="en-US" w:eastAsia="zh-CN"/>
        </w:rPr>
      </w:pPr>
      <w:r>
        <w:rPr>
          <w:rFonts w:hint="eastAsia" w:ascii="仿宋" w:hAnsi="仿宋" w:eastAsia="仿宋" w:cs="仿宋"/>
          <w:kern w:val="2"/>
          <w:sz w:val="28"/>
          <w:szCs w:val="28"/>
          <w:lang w:val="en-US" w:eastAsia="zh-CN"/>
        </w:rPr>
        <w:t>三、受托调解案件</w:t>
      </w:r>
    </w:p>
    <w:p w14:paraId="12D2029C">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第六条</w:t>
      </w:r>
      <w:r>
        <w:rPr>
          <w:rFonts w:hint="eastAsia" w:ascii="仿宋" w:hAnsi="仿宋" w:eastAsia="仿宋" w:cs="仿宋"/>
          <w:sz w:val="28"/>
          <w:szCs w:val="28"/>
          <w:lang w:val="en-US" w:eastAsia="zh-CN"/>
        </w:rPr>
        <w:t xml:space="preserve"> 人民法院或仲裁委员会委托本调解中心进行调解的案件，本中心不再收取申请费。</w:t>
      </w:r>
    </w:p>
    <w:p w14:paraId="0CC58BEA">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第七条</w:t>
      </w:r>
      <w:r>
        <w:rPr>
          <w:rFonts w:hint="eastAsia" w:ascii="仿宋" w:hAnsi="仿宋" w:eastAsia="仿宋" w:cs="仿宋"/>
          <w:sz w:val="28"/>
          <w:szCs w:val="28"/>
          <w:lang w:val="en-US" w:eastAsia="zh-CN"/>
        </w:rPr>
        <w:t xml:space="preserve"> 若经本调解中心调解，当事人达成调解/和解协议的，本调解中心可向当事人收取相当于法院案件受理费或仲裁委员会仲裁费的50%的调解处理费，特殊情况的除外；单件收费不满500元的，最低按每件500元收取。</w:t>
      </w:r>
    </w:p>
    <w:p w14:paraId="0B0B9F16">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第八条</w:t>
      </w:r>
      <w:r>
        <w:rPr>
          <w:rFonts w:hint="eastAsia" w:ascii="仿宋" w:hAnsi="仿宋" w:eastAsia="仿宋" w:cs="仿宋"/>
          <w:sz w:val="28"/>
          <w:szCs w:val="28"/>
          <w:lang w:val="en-US" w:eastAsia="zh-CN"/>
        </w:rPr>
        <w:t xml:space="preserve"> 非财产案件原则上按每件500元收取调解费用，法律另有规定的除外。</w:t>
      </w:r>
    </w:p>
    <w:p w14:paraId="136D16DC">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default" w:ascii="仿宋" w:hAnsi="仿宋" w:eastAsia="仿宋" w:cs="仿宋"/>
          <w:sz w:val="28"/>
          <w:szCs w:val="28"/>
          <w:lang w:val="en-US" w:eastAsia="zh-CN"/>
        </w:rPr>
      </w:pPr>
    </w:p>
    <w:p w14:paraId="62C349E0">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jc w:val="center"/>
        <w:textAlignment w:val="auto"/>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四、附则</w:t>
      </w:r>
    </w:p>
    <w:p w14:paraId="5D8413CA">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eastAsia" w:ascii="仿宋" w:hAnsi="仿宋" w:eastAsia="仿宋" w:cs="仿宋"/>
          <w:sz w:val="28"/>
          <w:szCs w:val="28"/>
          <w:lang w:val="en-US" w:eastAsia="zh-CN"/>
        </w:rPr>
      </w:pPr>
      <w:r>
        <w:rPr>
          <w:rFonts w:hint="eastAsia" w:ascii="仿宋" w:hAnsi="仿宋" w:eastAsia="仿宋" w:cs="仿宋"/>
          <w:b/>
          <w:bCs/>
          <w:sz w:val="28"/>
          <w:szCs w:val="28"/>
          <w:lang w:val="en-US" w:eastAsia="zh-CN"/>
        </w:rPr>
        <w:t>第九条</w:t>
      </w:r>
      <w:r>
        <w:rPr>
          <w:rFonts w:hint="eastAsia" w:ascii="仿宋" w:hAnsi="仿宋" w:eastAsia="仿宋" w:cs="仿宋"/>
          <w:sz w:val="28"/>
          <w:szCs w:val="28"/>
          <w:lang w:val="en-US" w:eastAsia="zh-CN"/>
        </w:rPr>
        <w:t xml:space="preserve"> 为进一步发挥本中心商事调解工作质效，减轻当事人纠纷处理成本和负担，本中心可根据案件实际承办情况，对调解收费在不超过以上标准的范围内进行一定调整。</w:t>
      </w:r>
    </w:p>
    <w:p w14:paraId="414FE2C9">
      <w:pPr>
        <w:pStyle w:val="6"/>
        <w:keepNext w:val="0"/>
        <w:keepLines w:val="0"/>
        <w:pageBreakBefore w:val="0"/>
        <w:kinsoku/>
        <w:wordWrap/>
        <w:overflowPunct/>
        <w:topLinePunct w:val="0"/>
        <w:autoSpaceDE/>
        <w:autoSpaceDN/>
        <w:bidi w:val="0"/>
        <w:adjustRightInd/>
        <w:snapToGrid/>
        <w:spacing w:line="360" w:lineRule="auto"/>
        <w:ind w:left="0" w:leftChars="0" w:right="0" w:rightChars="0" w:firstLine="0" w:firstLineChars="0"/>
        <w:textAlignment w:val="auto"/>
        <w:rPr>
          <w:rFonts w:hint="default" w:ascii="仿宋" w:hAnsi="仿宋" w:eastAsia="仿宋" w:cs="仿宋"/>
          <w:sz w:val="28"/>
          <w:szCs w:val="28"/>
          <w:lang w:val="en-US" w:eastAsia="zh-CN"/>
        </w:rPr>
      </w:pPr>
      <w:r>
        <w:rPr>
          <w:rFonts w:hint="eastAsia" w:ascii="仿宋" w:hAnsi="仿宋" w:eastAsia="仿宋" w:cs="仿宋"/>
          <w:b/>
          <w:bCs/>
          <w:sz w:val="28"/>
          <w:szCs w:val="28"/>
          <w:lang w:val="en-US" w:eastAsia="zh-CN"/>
        </w:rPr>
        <w:t>第十条</w:t>
      </w:r>
      <w:r>
        <w:rPr>
          <w:rFonts w:hint="eastAsia" w:ascii="仿宋" w:hAnsi="仿宋" w:eastAsia="仿宋" w:cs="仿宋"/>
          <w:sz w:val="28"/>
          <w:szCs w:val="28"/>
          <w:lang w:val="en-US" w:eastAsia="zh-CN"/>
        </w:rPr>
        <w:t xml:space="preserve"> 本中心对本规则享有解释权，并有权根据调解工作实际开展情况对本规则进行不时修订。</w:t>
      </w:r>
    </w:p>
    <w:p w14:paraId="2A13C532">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both"/>
        <w:textAlignment w:val="auto"/>
        <w:rPr>
          <w:rFonts w:hint="eastAsia" w:ascii="仿宋" w:hAnsi="仿宋" w:eastAsia="仿宋" w:cs="仿宋"/>
          <w:color w:val="222222"/>
          <w:sz w:val="28"/>
          <w:szCs w:val="28"/>
        </w:rPr>
      </w:pPr>
      <w:r>
        <w:rPr>
          <w:rFonts w:hint="eastAsia" w:ascii="仿宋" w:hAnsi="仿宋" w:eastAsia="仿宋" w:cs="仿宋"/>
          <w:color w:val="222222"/>
          <w:sz w:val="28"/>
          <w:szCs w:val="28"/>
        </w:rPr>
        <w:t>                     </w:t>
      </w:r>
    </w:p>
    <w:p w14:paraId="5440D6D5">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right"/>
        <w:textAlignment w:val="auto"/>
        <w:rPr>
          <w:rFonts w:hint="eastAsia" w:ascii="仿宋" w:hAnsi="仿宋" w:eastAsia="仿宋" w:cs="仿宋"/>
          <w:b/>
          <w:bCs/>
          <w:color w:val="222222"/>
          <w:sz w:val="28"/>
          <w:szCs w:val="28"/>
          <w:lang w:eastAsia="zh-CN"/>
        </w:rPr>
      </w:pPr>
      <w:r>
        <w:rPr>
          <w:rFonts w:hint="eastAsia" w:ascii="仿宋" w:hAnsi="仿宋" w:eastAsia="仿宋" w:cs="仿宋"/>
          <w:b/>
          <w:bCs/>
          <w:color w:val="222222"/>
          <w:sz w:val="28"/>
          <w:szCs w:val="28"/>
        </w:rPr>
        <w:t xml:space="preserve"> </w:t>
      </w:r>
      <w:r>
        <w:rPr>
          <w:rFonts w:hint="eastAsia" w:ascii="仿宋" w:hAnsi="仿宋" w:eastAsia="仿宋" w:cs="仿宋"/>
          <w:b/>
          <w:bCs/>
          <w:color w:val="222222"/>
          <w:sz w:val="28"/>
          <w:szCs w:val="28"/>
          <w:lang w:eastAsia="zh-CN"/>
        </w:rPr>
        <w:t>上海市普陀大道商事调解中心</w:t>
      </w:r>
    </w:p>
    <w:p w14:paraId="4FD937D6">
      <w:pPr>
        <w:rPr>
          <w:rFonts w:hint="eastAsia" w:ascii="仿宋" w:hAnsi="仿宋" w:eastAsia="仿宋" w:cs="仿宋"/>
          <w:b/>
          <w:bCs/>
          <w:sz w:val="28"/>
          <w:szCs w:val="28"/>
          <w:lang w:eastAsia="zh-CN"/>
        </w:rPr>
      </w:pPr>
    </w:p>
    <w:p w14:paraId="6AB37AAE">
      <w:pPr>
        <w:pStyle w:val="2"/>
        <w:keepNext w:val="0"/>
        <w:keepLines w:val="0"/>
        <w:pageBreakBefore w:val="0"/>
        <w:widowControl/>
        <w:kinsoku/>
        <w:wordWrap/>
        <w:overflowPunct/>
        <w:topLinePunct w:val="0"/>
        <w:autoSpaceDE/>
        <w:autoSpaceDN/>
        <w:bidi w:val="0"/>
        <w:adjustRightInd/>
        <w:snapToGrid/>
        <w:spacing w:beforeAutospacing="0" w:afterAutospacing="0" w:line="360" w:lineRule="auto"/>
        <w:ind w:left="0" w:leftChars="0" w:right="0" w:rightChars="0"/>
        <w:jc w:val="right"/>
        <w:textAlignment w:val="auto"/>
        <w:rPr>
          <w:rFonts w:hint="eastAsia" w:ascii="仿宋" w:hAnsi="仿宋" w:eastAsia="仿宋" w:cs="仿宋"/>
          <w:b/>
          <w:bCs/>
          <w:color w:val="2C3E50"/>
          <w:sz w:val="28"/>
          <w:szCs w:val="28"/>
          <w:vertAlign w:val="superscript"/>
        </w:rPr>
      </w:pPr>
      <w:r>
        <w:rPr>
          <w:rFonts w:hint="eastAsia" w:ascii="仿宋" w:hAnsi="仿宋" w:eastAsia="仿宋" w:cs="仿宋"/>
          <w:b/>
          <w:bCs/>
          <w:color w:val="222222"/>
          <w:sz w:val="28"/>
          <w:szCs w:val="28"/>
        </w:rPr>
        <w:t>202</w:t>
      </w:r>
      <w:r>
        <w:rPr>
          <w:rFonts w:hint="eastAsia" w:ascii="仿宋" w:hAnsi="仿宋" w:eastAsia="仿宋" w:cs="仿宋"/>
          <w:b/>
          <w:bCs/>
          <w:color w:val="222222"/>
          <w:sz w:val="28"/>
          <w:szCs w:val="28"/>
          <w:lang w:val="en-US" w:eastAsia="zh-CN"/>
        </w:rPr>
        <w:t>5</w:t>
      </w:r>
      <w:r>
        <w:rPr>
          <w:rFonts w:hint="eastAsia" w:ascii="仿宋" w:hAnsi="仿宋" w:eastAsia="仿宋" w:cs="仿宋"/>
          <w:b/>
          <w:bCs/>
          <w:color w:val="222222"/>
          <w:sz w:val="28"/>
          <w:szCs w:val="28"/>
        </w:rPr>
        <w:t>年</w:t>
      </w:r>
      <w:r>
        <w:rPr>
          <w:rFonts w:hint="eastAsia" w:ascii="仿宋" w:hAnsi="仿宋" w:eastAsia="仿宋" w:cs="仿宋"/>
          <w:b/>
          <w:bCs/>
          <w:color w:val="222222"/>
          <w:sz w:val="28"/>
          <w:szCs w:val="28"/>
          <w:lang w:val="en-US" w:eastAsia="zh-CN"/>
        </w:rPr>
        <w:t>10</w:t>
      </w:r>
      <w:r>
        <w:rPr>
          <w:rFonts w:hint="eastAsia" w:ascii="仿宋" w:hAnsi="仿宋" w:eastAsia="仿宋" w:cs="仿宋"/>
          <w:b/>
          <w:bCs/>
          <w:color w:val="222222"/>
          <w:sz w:val="28"/>
          <w:szCs w:val="28"/>
        </w:rPr>
        <w:t>月</w:t>
      </w:r>
      <w:r>
        <w:rPr>
          <w:rFonts w:hint="eastAsia" w:ascii="仿宋" w:hAnsi="仿宋" w:eastAsia="仿宋" w:cs="仿宋"/>
          <w:b/>
          <w:bCs/>
          <w:color w:val="222222"/>
          <w:sz w:val="28"/>
          <w:szCs w:val="28"/>
          <w:lang w:val="en-US" w:eastAsia="zh-CN"/>
        </w:rPr>
        <w:t>15</w:t>
      </w:r>
      <w:r>
        <w:rPr>
          <w:rFonts w:hint="eastAsia" w:ascii="仿宋" w:hAnsi="仿宋" w:eastAsia="仿宋" w:cs="仿宋"/>
          <w:b/>
          <w:bCs/>
          <w:color w:val="222222"/>
          <w:sz w:val="28"/>
          <w:szCs w:val="28"/>
        </w:rPr>
        <w:t>日</w:t>
      </w:r>
    </w:p>
    <w:sectPr>
      <w:footerReference r:id="rId3" w:type="default"/>
      <w:pgSz w:w="11906" w:h="16838"/>
      <w:pgMar w:top="1440" w:right="1800" w:bottom="1440" w:left="1800" w:header="851" w:footer="85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E174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EF331E5">
                          <w:pPr>
                            <w:pStyle w:val="4"/>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EF331E5">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ODQ4MjBkOGYwOTMwZGRjODFlOTQwYzQ3M2JiOWEifQ=="/>
  </w:docVars>
  <w:rsids>
    <w:rsidRoot w:val="14431DFA"/>
    <w:rsid w:val="002D356A"/>
    <w:rsid w:val="0030733A"/>
    <w:rsid w:val="00335FA0"/>
    <w:rsid w:val="003E124B"/>
    <w:rsid w:val="004441FD"/>
    <w:rsid w:val="004A1B9C"/>
    <w:rsid w:val="004C26FE"/>
    <w:rsid w:val="004F7223"/>
    <w:rsid w:val="00651AD3"/>
    <w:rsid w:val="006E1BCD"/>
    <w:rsid w:val="009D78E9"/>
    <w:rsid w:val="00B375A9"/>
    <w:rsid w:val="00E0418D"/>
    <w:rsid w:val="02555ED9"/>
    <w:rsid w:val="14431DFA"/>
    <w:rsid w:val="1FC5234A"/>
    <w:rsid w:val="24E0742D"/>
    <w:rsid w:val="26EC51CD"/>
    <w:rsid w:val="28C43C3E"/>
    <w:rsid w:val="29BFCB68"/>
    <w:rsid w:val="316F3FE4"/>
    <w:rsid w:val="322F794E"/>
    <w:rsid w:val="3627310D"/>
    <w:rsid w:val="3757C211"/>
    <w:rsid w:val="3C54700A"/>
    <w:rsid w:val="3C5C33E5"/>
    <w:rsid w:val="3E7B9487"/>
    <w:rsid w:val="3FB13A48"/>
    <w:rsid w:val="478C5751"/>
    <w:rsid w:val="4983566E"/>
    <w:rsid w:val="4C940979"/>
    <w:rsid w:val="4F67A9A4"/>
    <w:rsid w:val="536B4FEE"/>
    <w:rsid w:val="58B46EC7"/>
    <w:rsid w:val="5CFD040D"/>
    <w:rsid w:val="5DF43996"/>
    <w:rsid w:val="63A86AF7"/>
    <w:rsid w:val="63E61662"/>
    <w:rsid w:val="640D57D1"/>
    <w:rsid w:val="6BFA596C"/>
    <w:rsid w:val="6ED8499B"/>
    <w:rsid w:val="73CF49D9"/>
    <w:rsid w:val="751D2A0A"/>
    <w:rsid w:val="75E515E4"/>
    <w:rsid w:val="75F7CD01"/>
    <w:rsid w:val="76E9529A"/>
    <w:rsid w:val="78710098"/>
    <w:rsid w:val="79F783C5"/>
    <w:rsid w:val="7D7FDA6A"/>
    <w:rsid w:val="7EF3C7C5"/>
    <w:rsid w:val="9BF79DE3"/>
    <w:rsid w:val="BDFB0B4B"/>
    <w:rsid w:val="BF5F7F61"/>
    <w:rsid w:val="DF74A3AD"/>
    <w:rsid w:val="DFFDFF0D"/>
    <w:rsid w:val="EED7BA40"/>
    <w:rsid w:val="FCF9BA27"/>
    <w:rsid w:val="FCFF0B4E"/>
    <w:rsid w:val="FDFF5149"/>
    <w:rsid w:val="FE72EE60"/>
    <w:rsid w:val="FEFB97D2"/>
    <w:rsid w:val="FF1F7311"/>
    <w:rsid w:val="FF97E5BD"/>
    <w:rsid w:val="FFDF79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11"/>
    <w:qFormat/>
    <w:uiPriority w:val="0"/>
    <w:pPr>
      <w:tabs>
        <w:tab w:val="center" w:pos="4153"/>
        <w:tab w:val="right" w:pos="8306"/>
      </w:tabs>
      <w:snapToGrid w:val="0"/>
      <w:jc w:val="center"/>
    </w:pPr>
    <w:rPr>
      <w:sz w:val="18"/>
      <w:szCs w:val="18"/>
    </w:rPr>
  </w:style>
  <w:style w:type="paragraph" w:styleId="6">
    <w:name w:val="Normal (Web)"/>
    <w:basedOn w:val="1"/>
    <w:qFormat/>
    <w:uiPriority w:val="0"/>
    <w:pPr>
      <w:widowControl/>
      <w:spacing w:line="14" w:lineRule="atLeast"/>
      <w:ind w:left="-424" w:leftChars="-202" w:right="-764" w:rightChars="-364"/>
      <w:jc w:val="left"/>
    </w:pPr>
    <w:rPr>
      <w:rFonts w:cs="Times New Roman"/>
      <w:kern w:val="0"/>
      <w:sz w:val="24"/>
    </w:rPr>
  </w:style>
  <w:style w:type="character" w:styleId="9">
    <w:name w:val="Strong"/>
    <w:basedOn w:val="8"/>
    <w:qFormat/>
    <w:uiPriority w:val="0"/>
    <w:rPr>
      <w:b/>
    </w:rPr>
  </w:style>
  <w:style w:type="character" w:customStyle="1" w:styleId="10">
    <w:name w:val="页脚 字符"/>
    <w:basedOn w:val="8"/>
    <w:link w:val="4"/>
    <w:qFormat/>
    <w:uiPriority w:val="0"/>
    <w:rPr>
      <w:rFonts w:ascii="Calibri" w:hAnsi="Calibri" w:eastAsia="宋体" w:cs="Times New Roman"/>
      <w:kern w:val="2"/>
      <w:sz w:val="18"/>
      <w:szCs w:val="18"/>
    </w:rPr>
  </w:style>
  <w:style w:type="character" w:customStyle="1" w:styleId="11">
    <w:name w:val="页眉 字符"/>
    <w:basedOn w:val="8"/>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d810bb1d-6d71-49f3-a982-7ac3c722302a</errorID>
      <errorWord>之</errorWord>
      <group>L1_Word</group>
      <groupName>字词问题</groupName>
      <ability>L2_Typo</ability>
      <abilityName>字词错误</abilityName>
      <candidateList>
        <item>至</item>
      </candidateList>
      <explain>存在发音相同字词的误用。</explain>
      <paraID>6EA60A48</paraID>
      <start>56</start>
      <end>57</end>
      <status>modified</status>
      <modifiedWord>至</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0b68a5-a29c-4e8c-86b5-257bf8afb046}">
  <ds:schemaRefs/>
</ds:datastoreItem>
</file>

<file path=docProps/app.xml><?xml version="1.0" encoding="utf-8"?>
<Properties xmlns="http://schemas.openxmlformats.org/officeDocument/2006/extended-properties" xmlns:vt="http://schemas.openxmlformats.org/officeDocument/2006/docPropsVTypes">
  <Template>Normal</Template>
  <Pages>3</Pages>
  <Words>889</Words>
  <Characters>979</Characters>
  <Lines>18</Lines>
  <Paragraphs>5</Paragraphs>
  <TotalTime>20</TotalTime>
  <ScaleCrop>false</ScaleCrop>
  <LinksUpToDate>false</LinksUpToDate>
  <CharactersWithSpaces>1011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2023-07-02T09:07:00Z</dcterms:created>
  <dc:creator>沈鹏飞</dc:creator>
  <cp:lastModifiedBy>Lawyer Zhao</cp:lastModifiedBy>
  <cp:lastPrinted>2025-12-17T02:58:00Z</cp:lastPrinted>
  <dcterms:modified xsi:type="dcterms:W3CDTF">2025-12-17T11:01:06Z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FC1485976A1C4DD49139E176ABE05417_13</vt:lpwstr>
  </property>
  <property fmtid="{D5CDD505-2E9C-101B-9397-08002B2CF9AE}" pid="4" name="KSOTemplateDocerSaveRecord">
    <vt:lpwstr>eyJoZGlkIjoiN2MwN2I1YWI1YmMyNzI4NGFiMjRhMTYxYzBiYjE1YjgiLCJ1c2VySWQiOiIyMzA0OTEzODcifQ==</vt:lpwstr>
  </property>
</Properties>
</file>