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2"/>
          <w:szCs w:val="32"/>
          <w:lang w:val="en-US" w:eastAsia="zh-CN"/>
        </w:rPr>
      </w:pPr>
      <w:r>
        <w:rPr>
          <w:rFonts w:hint="eastAsia" w:ascii="宋体" w:hAnsi="宋体" w:eastAsia="宋体"/>
          <w:b/>
          <w:bCs/>
          <w:sz w:val="32"/>
          <w:szCs w:val="32"/>
        </w:rPr>
        <w:t>上海新闵</w:t>
      </w:r>
      <w:r>
        <w:rPr>
          <w:rFonts w:hint="eastAsia" w:ascii="宋体" w:hAnsi="宋体" w:eastAsia="宋体"/>
          <w:b/>
          <w:bCs/>
          <w:sz w:val="32"/>
          <w:szCs w:val="32"/>
          <w:lang w:val="en-US" w:eastAsia="zh-CN"/>
        </w:rPr>
        <w:t>调解</w:t>
      </w:r>
      <w:r>
        <w:rPr>
          <w:rFonts w:hint="eastAsia" w:ascii="宋体" w:hAnsi="宋体" w:eastAsia="宋体"/>
          <w:b/>
          <w:bCs/>
          <w:sz w:val="32"/>
          <w:szCs w:val="32"/>
        </w:rPr>
        <w:t>事务所</w:t>
      </w:r>
      <w:r>
        <w:rPr>
          <w:rFonts w:hint="eastAsia" w:ascii="宋体" w:hAnsi="宋体" w:eastAsia="宋体"/>
          <w:b/>
          <w:bCs/>
          <w:sz w:val="32"/>
          <w:szCs w:val="32"/>
          <w:lang w:val="en-US" w:eastAsia="zh-CN"/>
        </w:rPr>
        <w:t>民商事</w:t>
      </w:r>
      <w:bookmarkStart w:id="0" w:name="_GoBack"/>
      <w:bookmarkEnd w:id="0"/>
      <w:r>
        <w:rPr>
          <w:rFonts w:hint="eastAsia" w:ascii="宋体" w:hAnsi="宋体" w:eastAsia="宋体"/>
          <w:b/>
          <w:bCs/>
          <w:sz w:val="32"/>
          <w:szCs w:val="32"/>
          <w:lang w:val="en-US" w:eastAsia="zh-CN"/>
        </w:rPr>
        <w:t>调解</w:t>
      </w:r>
    </w:p>
    <w:p>
      <w:pPr>
        <w:spacing w:line="360" w:lineRule="auto"/>
        <w:jc w:val="center"/>
        <w:rPr>
          <w:rFonts w:hint="eastAsia" w:ascii="宋体" w:hAnsi="宋体" w:eastAsia="宋体"/>
          <w:b/>
          <w:bCs/>
          <w:sz w:val="32"/>
          <w:szCs w:val="32"/>
        </w:rPr>
      </w:pPr>
      <w:r>
        <w:rPr>
          <w:rFonts w:hint="eastAsia" w:ascii="宋体" w:hAnsi="宋体" w:eastAsia="宋体"/>
          <w:b/>
          <w:bCs/>
          <w:sz w:val="32"/>
          <w:szCs w:val="32"/>
        </w:rPr>
        <w:t>收费</w:t>
      </w:r>
      <w:r>
        <w:rPr>
          <w:rFonts w:ascii="宋体" w:hAnsi="宋体" w:eastAsia="宋体"/>
          <w:b/>
          <w:bCs/>
          <w:sz w:val="32"/>
          <w:szCs w:val="32"/>
        </w:rPr>
        <w:t>标准</w:t>
      </w:r>
      <w:r>
        <w:rPr>
          <w:rFonts w:hint="eastAsia" w:ascii="宋体" w:hAnsi="宋体" w:eastAsia="宋体"/>
          <w:b/>
          <w:bCs/>
          <w:sz w:val="32"/>
          <w:szCs w:val="32"/>
        </w:rPr>
        <w:t>管理办法</w:t>
      </w:r>
    </w:p>
    <w:p>
      <w:pPr>
        <w:spacing w:line="360" w:lineRule="auto"/>
        <w:jc w:val="center"/>
        <w:rPr>
          <w:rFonts w:hint="eastAsia" w:ascii="宋体" w:hAnsi="宋体" w:eastAsia="宋体"/>
          <w:b/>
          <w:bCs/>
          <w:sz w:val="32"/>
          <w:szCs w:val="32"/>
        </w:rPr>
      </w:pPr>
    </w:p>
    <w:p>
      <w:pPr>
        <w:spacing w:line="360" w:lineRule="auto"/>
        <w:jc w:val="left"/>
        <w:rPr>
          <w:rFonts w:hint="eastAsia" w:ascii="宋体" w:hAnsi="宋体" w:eastAsia="宋体"/>
          <w:b w:val="0"/>
          <w:bCs w:val="0"/>
          <w:sz w:val="24"/>
          <w:szCs w:val="24"/>
          <w:lang w:val="en-US" w:eastAsia="zh-CN"/>
        </w:rPr>
      </w:pP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上海新闵调解事务所（以下简称“调解所”）律师调解员大部分来源于上海市新闵律师事务所（以下简称“律师所”）执业律师，为便于统一管理，民商事调解收费标准，参照《上海市新闵律师事务所律师服务收费标准管理办法》进行调解收费（见附件）。</w:t>
      </w:r>
    </w:p>
    <w:p>
      <w:pPr>
        <w:spacing w:line="360" w:lineRule="auto"/>
        <w:jc w:val="left"/>
        <w:rPr>
          <w:rFonts w:hint="eastAsia" w:ascii="宋体" w:hAnsi="宋体" w:eastAsia="宋体"/>
          <w:b w:val="0"/>
          <w:bCs w:val="0"/>
          <w:sz w:val="24"/>
          <w:szCs w:val="24"/>
          <w:lang w:val="en-US" w:eastAsia="zh-CN"/>
        </w:rPr>
      </w:pPr>
    </w:p>
    <w:p>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上海新闵调解事务所</w:t>
      </w:r>
    </w:p>
    <w:p>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2023年1月</w:t>
      </w:r>
    </w:p>
    <w:p>
      <w:pPr>
        <w:spacing w:line="360" w:lineRule="auto"/>
        <w:jc w:val="left"/>
        <w:rPr>
          <w:rFonts w:hint="eastAsia" w:ascii="宋体" w:hAnsi="宋体" w:eastAsia="宋体"/>
          <w:b w:val="0"/>
          <w:bCs w:val="0"/>
          <w:sz w:val="24"/>
          <w:szCs w:val="24"/>
          <w:lang w:val="en-US" w:eastAsia="zh-CN"/>
        </w:rPr>
      </w:pPr>
    </w:p>
    <w:p>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附件：</w:t>
      </w:r>
    </w:p>
    <w:p>
      <w:pPr>
        <w:spacing w:line="360" w:lineRule="auto"/>
        <w:jc w:val="center"/>
        <w:rPr>
          <w:rFonts w:hint="default" w:ascii="宋体" w:hAnsi="宋体" w:eastAsia="宋体"/>
          <w:b/>
          <w:bCs/>
          <w:sz w:val="32"/>
          <w:szCs w:val="32"/>
          <w:lang w:val="en-US" w:eastAsia="zh-CN"/>
        </w:rPr>
      </w:pPr>
      <w:r>
        <w:rPr>
          <w:rFonts w:hint="eastAsia" w:ascii="宋体" w:hAnsi="宋体" w:eastAsia="宋体"/>
          <w:b w:val="0"/>
          <w:bCs w:val="0"/>
          <w:sz w:val="24"/>
          <w:szCs w:val="24"/>
          <w:lang w:val="en-US" w:eastAsia="zh-CN"/>
        </w:rPr>
        <w:t xml:space="preserve">     </w:t>
      </w:r>
      <w:r>
        <w:rPr>
          <w:rFonts w:hint="eastAsia" w:ascii="宋体" w:hAnsi="宋体" w:eastAsia="宋体"/>
          <w:b/>
          <w:bCs/>
          <w:sz w:val="32"/>
          <w:szCs w:val="32"/>
        </w:rPr>
        <w:t>上海</w:t>
      </w:r>
      <w:r>
        <w:rPr>
          <w:rFonts w:hint="eastAsia" w:ascii="宋体" w:hAnsi="宋体" w:eastAsia="宋体"/>
          <w:b/>
          <w:bCs/>
          <w:sz w:val="32"/>
          <w:szCs w:val="32"/>
          <w:lang w:val="en-US" w:eastAsia="zh-CN"/>
        </w:rPr>
        <w:t>市</w:t>
      </w:r>
      <w:r>
        <w:rPr>
          <w:rFonts w:hint="eastAsia" w:ascii="宋体" w:hAnsi="宋体" w:eastAsia="宋体"/>
          <w:b/>
          <w:bCs/>
          <w:sz w:val="32"/>
          <w:szCs w:val="32"/>
        </w:rPr>
        <w:t>新闵</w:t>
      </w:r>
      <w:r>
        <w:rPr>
          <w:rFonts w:hint="eastAsia" w:ascii="宋体" w:hAnsi="宋体" w:eastAsia="宋体"/>
          <w:b/>
          <w:bCs/>
          <w:sz w:val="32"/>
          <w:szCs w:val="32"/>
          <w:lang w:val="en-US" w:eastAsia="zh-CN"/>
        </w:rPr>
        <w:t>律师</w:t>
      </w:r>
      <w:r>
        <w:rPr>
          <w:rFonts w:hint="eastAsia" w:ascii="宋体" w:hAnsi="宋体" w:eastAsia="宋体"/>
          <w:b/>
          <w:bCs/>
          <w:sz w:val="32"/>
          <w:szCs w:val="32"/>
        </w:rPr>
        <w:t>事务所</w:t>
      </w:r>
      <w:r>
        <w:rPr>
          <w:rFonts w:hint="eastAsia" w:ascii="宋体" w:hAnsi="宋体" w:eastAsia="宋体"/>
          <w:b/>
          <w:bCs/>
          <w:sz w:val="32"/>
          <w:szCs w:val="32"/>
          <w:lang w:val="en-US" w:eastAsia="zh-CN"/>
        </w:rPr>
        <w:t>民律师服务</w:t>
      </w:r>
    </w:p>
    <w:p>
      <w:pPr>
        <w:spacing w:line="360" w:lineRule="auto"/>
        <w:jc w:val="center"/>
        <w:rPr>
          <w:rFonts w:hint="eastAsia" w:ascii="宋体" w:hAnsi="宋体" w:eastAsia="宋体"/>
          <w:b/>
          <w:bCs/>
          <w:sz w:val="32"/>
          <w:szCs w:val="32"/>
        </w:rPr>
      </w:pPr>
      <w:r>
        <w:rPr>
          <w:rFonts w:hint="eastAsia" w:ascii="宋体" w:hAnsi="宋体" w:eastAsia="宋体"/>
          <w:b/>
          <w:bCs/>
          <w:sz w:val="32"/>
          <w:szCs w:val="32"/>
        </w:rPr>
        <w:t>收费</w:t>
      </w:r>
      <w:r>
        <w:rPr>
          <w:rFonts w:ascii="宋体" w:hAnsi="宋体" w:eastAsia="宋体"/>
          <w:b/>
          <w:bCs/>
          <w:sz w:val="32"/>
          <w:szCs w:val="32"/>
        </w:rPr>
        <w:t>标准</w:t>
      </w:r>
      <w:r>
        <w:rPr>
          <w:rFonts w:hint="eastAsia" w:ascii="宋体" w:hAnsi="宋体" w:eastAsia="宋体"/>
          <w:b/>
          <w:bCs/>
          <w:sz w:val="32"/>
          <w:szCs w:val="32"/>
        </w:rPr>
        <w:t>管理办法</w:t>
      </w:r>
    </w:p>
    <w:p>
      <w:pPr>
        <w:spacing w:line="360" w:lineRule="auto"/>
        <w:jc w:val="left"/>
        <w:rPr>
          <w:rFonts w:hint="default" w:ascii="宋体" w:hAnsi="宋体" w:eastAsia="宋体"/>
          <w:b w:val="0"/>
          <w:bCs w:val="0"/>
          <w:sz w:val="24"/>
          <w:szCs w:val="24"/>
          <w:lang w:val="en-US" w:eastAsia="zh-CN"/>
        </w:rPr>
      </w:pPr>
    </w:p>
    <w:p>
      <w:pPr>
        <w:spacing w:line="360" w:lineRule="auto"/>
        <w:jc w:val="center"/>
        <w:rPr>
          <w:rFonts w:ascii="宋体" w:hAnsi="宋体" w:eastAsia="宋体"/>
          <w:b/>
          <w:bCs/>
          <w:sz w:val="24"/>
          <w:szCs w:val="24"/>
        </w:rPr>
      </w:pPr>
      <w:r>
        <w:rPr>
          <w:rFonts w:hint="eastAsia" w:ascii="宋体" w:hAnsi="宋体" w:eastAsia="宋体"/>
          <w:b/>
          <w:bCs/>
          <w:sz w:val="24"/>
          <w:szCs w:val="24"/>
        </w:rPr>
        <w:t>第一章 总则</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为规范上海</w:t>
      </w:r>
      <w:r>
        <w:rPr>
          <w:rFonts w:hint="eastAsia" w:ascii="宋体" w:hAnsi="宋体" w:eastAsia="宋体"/>
          <w:sz w:val="24"/>
          <w:szCs w:val="24"/>
          <w:lang w:val="en-US" w:eastAsia="zh-CN"/>
        </w:rPr>
        <w:t>市</w:t>
      </w:r>
      <w:r>
        <w:rPr>
          <w:rFonts w:hint="eastAsia" w:ascii="宋体" w:hAnsi="宋体" w:eastAsia="宋体"/>
          <w:sz w:val="24"/>
          <w:szCs w:val="24"/>
        </w:rPr>
        <w:t>新闵律师事务所（以下简称“本所”）律师服务收费行为，维护委托人和律师事务所的合法权益，完善本所律师服务收费公示制度，依据《中华人民共和国价格法》，国家发展和改革委员会、司法部《律师服务收费管理办法》（发改价格[</w:t>
      </w:r>
      <w:r>
        <w:rPr>
          <w:rFonts w:ascii="宋体" w:hAnsi="宋体" w:eastAsia="宋体"/>
          <w:sz w:val="24"/>
          <w:szCs w:val="24"/>
        </w:rPr>
        <w:t>2016]611</w:t>
      </w:r>
      <w:r>
        <w:rPr>
          <w:rFonts w:hint="eastAsia" w:ascii="宋体" w:hAnsi="宋体" w:eastAsia="宋体"/>
          <w:sz w:val="24"/>
          <w:szCs w:val="24"/>
        </w:rPr>
        <w:t>号）及司法部、国家发展和改革委员会、国家市场监督管理总局《关于进一步规范律师服务收费的意见》（司发通[</w:t>
      </w:r>
      <w:r>
        <w:rPr>
          <w:rFonts w:ascii="宋体" w:hAnsi="宋体" w:eastAsia="宋体"/>
          <w:sz w:val="24"/>
          <w:szCs w:val="24"/>
        </w:rPr>
        <w:t>2021]87</w:t>
      </w:r>
      <w:r>
        <w:rPr>
          <w:rFonts w:hint="eastAsia" w:ascii="宋体" w:hAnsi="宋体" w:eastAsia="宋体"/>
          <w:sz w:val="24"/>
          <w:szCs w:val="24"/>
        </w:rPr>
        <w:t>号）等有关规定，结合本所实际情况，制定本收费标准管理办法（以下简称“本办法”）。</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本所在其他省、自治区、直辖市设立的分支机构，不适用本办法。</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本所异地提供法律服务，适用本办法。</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律师服务收费是本所接受委托办理法律事务，向委托人收取服务报酬的行为。</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本所律师服务收费应遵循公开公平、自愿有偿、诚实信用的原则。本所律师应当努力提供服务质量，为委托人提供方便优质的法律服务。</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本所律师应当严格按照本所在上海市律师协会备案的律师服务费标准收费。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本所在执业场所显著位置对在上海市律师协会备案的律师服务费收费标准进行公示，接受社会监督。</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本所办理涉及农民工、残疾人等弱势群体或者与公益活动有关的法律服务事项，可以酌情减免律师服务费。对当事人符合法律援助条件的，本所应当及时告知当事人可以申请法律援助。</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b/>
          <w:bCs/>
          <w:sz w:val="24"/>
          <w:szCs w:val="24"/>
        </w:rPr>
      </w:pPr>
      <w:r>
        <w:rPr>
          <w:rFonts w:hint="eastAsia" w:ascii="宋体" w:hAnsi="宋体" w:eastAsia="宋体"/>
          <w:b/>
          <w:bCs/>
          <w:sz w:val="24"/>
          <w:szCs w:val="24"/>
        </w:rPr>
        <w:t>第二章 规范律师服务收费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本所律师与当事人协商收费，不得作出违背社会公序良俗或者显示公平的约定，不得采取欺骗、诱导等方式促使当事人接受律师服务价格，不得相关串通、操纵律师服务收费价格。</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本所律师不得在协商收费时向当事人明示或暗示与司法机关、仲裁机构及其工作人员有特殊关系，不得以签订“阴阳合同”等方式规避律师收费限制性规定。</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本所建立健全收案管理、收费管理、财务管理、专用业务文书、档案管理等内部管理制度，确保律师业务全面登记、全程留痕。</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服务收费由本所财务人员统一收取、统一入账、统一结算，并及时出具合法票据，不得用内部收据等代替合法票据，不得由律师直接向当事人收取律师服务费。确因特殊情况，当事人提出由律师代为收取律师服务费的，一般情况下律师应当在代收后3个工作日内将代收的律师服务费转入本所账户。</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本所接受委托办理法律事务所产生的办案费（包括鉴定费、公证费、异地办案差旅费和经委托人同意垫付的其他费用等）按时收取。</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b/>
          <w:bCs/>
          <w:sz w:val="24"/>
          <w:szCs w:val="24"/>
        </w:rPr>
        <w:t>第三章 律师服务收费方式</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本所律师服务费收费方式分为计时收费、计件收费、按标的额比例收费、风险代理收费和协商收费方式。</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b/>
          <w:bCs/>
          <w:sz w:val="24"/>
          <w:szCs w:val="24"/>
        </w:rPr>
      </w:pPr>
      <w:r>
        <w:rPr>
          <w:rFonts w:hint="eastAsia" w:ascii="宋体" w:hAnsi="宋体" w:eastAsia="宋体"/>
          <w:b/>
          <w:bCs/>
          <w:sz w:val="24"/>
          <w:szCs w:val="24"/>
        </w:rPr>
        <w:t>第四章 计时收费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计时收费指本所接受当事人委托，按照确定的计时收费标准，根据其提供法律服务所付出的有效工作时间，计算收取律师服务报酬的收费方式。</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本所计时收费范围标准为人民币1</w:t>
      </w:r>
      <w:r>
        <w:rPr>
          <w:rFonts w:ascii="宋体" w:hAnsi="宋体" w:eastAsia="宋体"/>
          <w:sz w:val="24"/>
          <w:szCs w:val="24"/>
        </w:rPr>
        <w:t>000</w:t>
      </w:r>
      <w:r>
        <w:rPr>
          <w:rFonts w:hint="eastAsia" w:ascii="宋体" w:hAnsi="宋体" w:eastAsia="宋体"/>
          <w:sz w:val="24"/>
          <w:szCs w:val="24"/>
        </w:rPr>
        <w:t>元/小时至5</w:t>
      </w:r>
      <w:r>
        <w:rPr>
          <w:rFonts w:ascii="宋体" w:hAnsi="宋体" w:eastAsia="宋体"/>
          <w:sz w:val="24"/>
          <w:szCs w:val="24"/>
        </w:rPr>
        <w:t>000</w:t>
      </w:r>
      <w:r>
        <w:rPr>
          <w:rFonts w:hint="eastAsia" w:ascii="宋体" w:hAnsi="宋体" w:eastAsia="宋体"/>
          <w:sz w:val="24"/>
          <w:szCs w:val="24"/>
        </w:rPr>
        <w:t>元/小时（以下币种同，其中包括担任法律顾问、解答法律询问、代写诉讼文书</w:t>
      </w:r>
      <w:r>
        <w:rPr>
          <w:rFonts w:hint="eastAsia" w:ascii="宋体" w:hAnsi="宋体" w:eastAsia="宋体"/>
          <w:sz w:val="24"/>
          <w:szCs w:val="24"/>
          <w:lang w:eastAsia="zh-CN"/>
        </w:rPr>
        <w:t>、</w:t>
      </w:r>
      <w:r>
        <w:rPr>
          <w:rFonts w:hint="eastAsia" w:ascii="宋体" w:hAnsi="宋体" w:eastAsia="宋体"/>
          <w:sz w:val="24"/>
          <w:szCs w:val="24"/>
          <w:lang w:val="en-US" w:eastAsia="zh-CN"/>
        </w:rPr>
        <w:t>民商事调解</w:t>
      </w:r>
      <w:r>
        <w:rPr>
          <w:rFonts w:hint="eastAsia" w:ascii="宋体" w:hAnsi="宋体" w:eastAsia="宋体"/>
          <w:sz w:val="24"/>
          <w:szCs w:val="24"/>
        </w:rPr>
        <w:t>和有关法律事务的其他文书等）。</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有效工作时间是指本所指定的承办律师办理法律事务的有效工作时间，包括律师向委托人了解案情、调查取证、查阅案卷、起草诉讼文书和法律文件、会见被限制人身自由的人员、出庭、参与调解和谈判、商议工作方案、代办各类手续以及办理其他相关法律事务的必要时间。</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因工作需要，本所为承办律师指派的辅助人员的工作时间，经本所与委托人协商确定后，可以计入有效工作时间。</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承办律师为两人以上的，应当按各自提供有效法律服务所耗费的时间单独累计计算有效工作时间。</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律师有效工作时间的计算期限，从双方协商确定委托关系之时起至委托合同终止之日止，但双方另有约定的除外。</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律师在办理委托事项过程中，乘坐车、船、飞机所耗费的路途时间以及因差旅所耗费的时间，可以比照有效工作时间收取律师费，但双方另有约定的除外。</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b/>
          <w:bCs/>
          <w:sz w:val="24"/>
          <w:szCs w:val="24"/>
        </w:rPr>
        <w:t>第五章 计件收费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计件收费是指本所以委托事项、案件或法律事务的件数为单位，计算收取律师服务报酬的收费方式。</w:t>
      </w:r>
    </w:p>
    <w:p>
      <w:pPr>
        <w:pStyle w:val="9"/>
        <w:numPr>
          <w:ilvl w:val="0"/>
          <w:numId w:val="1"/>
        </w:numPr>
        <w:spacing w:line="360" w:lineRule="auto"/>
        <w:ind w:left="1134" w:hanging="1134" w:firstLineChars="0"/>
        <w:rPr>
          <w:rFonts w:ascii="宋体" w:hAnsi="宋体" w:eastAsia="宋体"/>
          <w:sz w:val="24"/>
          <w:szCs w:val="24"/>
        </w:rPr>
      </w:pPr>
      <w:r>
        <w:rPr>
          <w:rFonts w:hint="eastAsia" w:ascii="宋体" w:hAnsi="宋体" w:eastAsia="宋体"/>
          <w:sz w:val="24"/>
          <w:szCs w:val="24"/>
        </w:rPr>
        <w:t>本所计件收费标准如下：</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代理民事、行政案件或国家赔偿案件</w:t>
      </w:r>
      <w:r>
        <w:rPr>
          <w:rFonts w:hint="eastAsia" w:ascii="宋体" w:hAnsi="宋体" w:eastAsia="宋体"/>
          <w:sz w:val="24"/>
          <w:szCs w:val="24"/>
          <w:lang w:eastAsia="zh-CN"/>
        </w:rPr>
        <w:t>、</w:t>
      </w:r>
      <w:r>
        <w:rPr>
          <w:rFonts w:hint="eastAsia" w:ascii="宋体" w:hAnsi="宋体" w:eastAsia="宋体"/>
          <w:sz w:val="24"/>
          <w:szCs w:val="24"/>
          <w:lang w:val="en-US" w:eastAsia="zh-CN"/>
        </w:rPr>
        <w:t>律师调解等</w:t>
      </w:r>
      <w:r>
        <w:rPr>
          <w:rFonts w:hint="eastAsia" w:ascii="宋体" w:hAnsi="宋体" w:eastAsia="宋体"/>
          <w:sz w:val="24"/>
          <w:szCs w:val="24"/>
        </w:rPr>
        <w:t>，不涉及财产的，收费范围为1</w:t>
      </w:r>
      <w:r>
        <w:rPr>
          <w:rFonts w:ascii="宋体" w:hAnsi="宋体" w:eastAsia="宋体"/>
          <w:sz w:val="24"/>
          <w:szCs w:val="24"/>
        </w:rPr>
        <w:t>5000</w:t>
      </w:r>
      <w:r>
        <w:rPr>
          <w:rFonts w:hint="eastAsia" w:ascii="宋体" w:hAnsi="宋体" w:eastAsia="宋体"/>
          <w:sz w:val="24"/>
          <w:szCs w:val="24"/>
        </w:rPr>
        <w:t>元/件至6</w:t>
      </w:r>
      <w:r>
        <w:rPr>
          <w:rFonts w:ascii="宋体" w:hAnsi="宋体" w:eastAsia="宋体"/>
          <w:sz w:val="24"/>
          <w:szCs w:val="24"/>
        </w:rPr>
        <w:t>0000</w:t>
      </w:r>
      <w:r>
        <w:rPr>
          <w:rFonts w:hint="eastAsia" w:ascii="宋体" w:hAnsi="宋体" w:eastAsia="宋体"/>
          <w:sz w:val="24"/>
          <w:szCs w:val="24"/>
        </w:rPr>
        <w:t>元/件；</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担任法律顾问，收费范围为2</w:t>
      </w:r>
      <w:r>
        <w:rPr>
          <w:rFonts w:ascii="宋体" w:hAnsi="宋体" w:eastAsia="宋体"/>
          <w:sz w:val="24"/>
          <w:szCs w:val="24"/>
        </w:rPr>
        <w:t>0000</w:t>
      </w:r>
      <w:r>
        <w:rPr>
          <w:rFonts w:hint="eastAsia" w:ascii="宋体" w:hAnsi="宋体" w:eastAsia="宋体"/>
          <w:sz w:val="24"/>
          <w:szCs w:val="24"/>
        </w:rPr>
        <w:t>元/件至3</w:t>
      </w:r>
      <w:r>
        <w:rPr>
          <w:rFonts w:ascii="宋体" w:hAnsi="宋体" w:eastAsia="宋体"/>
          <w:sz w:val="24"/>
          <w:szCs w:val="24"/>
        </w:rPr>
        <w:t>00000</w:t>
      </w:r>
      <w:r>
        <w:rPr>
          <w:rFonts w:hint="eastAsia" w:ascii="宋体" w:hAnsi="宋体" w:eastAsia="宋体"/>
          <w:sz w:val="24"/>
          <w:szCs w:val="24"/>
        </w:rPr>
        <w:t>元/件；</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解答法律询问，收费范围为2</w:t>
      </w:r>
      <w:r>
        <w:rPr>
          <w:rFonts w:ascii="宋体" w:hAnsi="宋体" w:eastAsia="宋体"/>
          <w:sz w:val="24"/>
          <w:szCs w:val="24"/>
        </w:rPr>
        <w:t>00</w:t>
      </w:r>
      <w:r>
        <w:rPr>
          <w:rFonts w:hint="eastAsia" w:ascii="宋体" w:hAnsi="宋体" w:eastAsia="宋体"/>
          <w:sz w:val="24"/>
          <w:szCs w:val="24"/>
        </w:rPr>
        <w:t>元/件至5</w:t>
      </w:r>
      <w:r>
        <w:rPr>
          <w:rFonts w:ascii="宋体" w:hAnsi="宋体" w:eastAsia="宋体"/>
          <w:sz w:val="24"/>
          <w:szCs w:val="24"/>
        </w:rPr>
        <w:t>000</w:t>
      </w:r>
      <w:r>
        <w:rPr>
          <w:rFonts w:hint="eastAsia" w:ascii="宋体" w:hAnsi="宋体" w:eastAsia="宋体"/>
          <w:sz w:val="24"/>
          <w:szCs w:val="24"/>
        </w:rPr>
        <w:t>元/件；</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代写诉讼文书，收费范围为1</w:t>
      </w:r>
      <w:r>
        <w:rPr>
          <w:rFonts w:ascii="宋体" w:hAnsi="宋体" w:eastAsia="宋体"/>
          <w:sz w:val="24"/>
          <w:szCs w:val="24"/>
        </w:rPr>
        <w:t>000</w:t>
      </w:r>
      <w:r>
        <w:rPr>
          <w:rFonts w:hint="eastAsia" w:ascii="宋体" w:hAnsi="宋体" w:eastAsia="宋体"/>
          <w:sz w:val="24"/>
          <w:szCs w:val="24"/>
        </w:rPr>
        <w:t>元/件至1</w:t>
      </w:r>
      <w:r>
        <w:rPr>
          <w:rFonts w:ascii="宋体" w:hAnsi="宋体" w:eastAsia="宋体"/>
          <w:sz w:val="24"/>
          <w:szCs w:val="24"/>
        </w:rPr>
        <w:t>0000</w:t>
      </w:r>
      <w:r>
        <w:rPr>
          <w:rFonts w:hint="eastAsia" w:ascii="宋体" w:hAnsi="宋体" w:eastAsia="宋体"/>
          <w:sz w:val="24"/>
          <w:szCs w:val="24"/>
        </w:rPr>
        <w:t>元/件；</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有关法律事务的其他文书，收费范围为3</w:t>
      </w:r>
      <w:r>
        <w:rPr>
          <w:rFonts w:ascii="宋体" w:hAnsi="宋体" w:eastAsia="宋体"/>
          <w:sz w:val="24"/>
          <w:szCs w:val="24"/>
        </w:rPr>
        <w:t>000</w:t>
      </w:r>
      <w:r>
        <w:rPr>
          <w:rFonts w:hint="eastAsia" w:ascii="宋体" w:hAnsi="宋体" w:eastAsia="宋体"/>
          <w:sz w:val="24"/>
          <w:szCs w:val="24"/>
        </w:rPr>
        <w:t>元/件至5</w:t>
      </w:r>
      <w:r>
        <w:rPr>
          <w:rFonts w:ascii="宋体" w:hAnsi="宋体" w:eastAsia="宋体"/>
          <w:sz w:val="24"/>
          <w:szCs w:val="24"/>
        </w:rPr>
        <w:t>00000</w:t>
      </w:r>
      <w:r>
        <w:rPr>
          <w:rFonts w:hint="eastAsia" w:ascii="宋体" w:hAnsi="宋体" w:eastAsia="宋体"/>
          <w:sz w:val="24"/>
          <w:szCs w:val="24"/>
        </w:rPr>
        <w:t>元/件；</w:t>
      </w:r>
    </w:p>
    <w:p>
      <w:pPr>
        <w:pStyle w:val="9"/>
        <w:numPr>
          <w:ilvl w:val="0"/>
          <w:numId w:val="2"/>
        </w:numPr>
        <w:spacing w:line="360" w:lineRule="auto"/>
        <w:ind w:left="709" w:hanging="709" w:firstLineChars="0"/>
        <w:rPr>
          <w:rFonts w:ascii="宋体" w:hAnsi="宋体" w:eastAsia="宋体"/>
          <w:sz w:val="24"/>
          <w:szCs w:val="24"/>
        </w:rPr>
      </w:pPr>
      <w:r>
        <w:rPr>
          <w:rFonts w:hint="eastAsia" w:ascii="宋体" w:hAnsi="宋体" w:eastAsia="宋体"/>
          <w:sz w:val="24"/>
          <w:szCs w:val="24"/>
        </w:rPr>
        <w:t>办理刑事案件，侦查阶段收费范围为7</w:t>
      </w:r>
      <w:r>
        <w:rPr>
          <w:rFonts w:ascii="宋体" w:hAnsi="宋体" w:eastAsia="宋体"/>
          <w:sz w:val="24"/>
          <w:szCs w:val="24"/>
        </w:rPr>
        <w:t>500</w:t>
      </w:r>
      <w:r>
        <w:rPr>
          <w:rFonts w:hint="eastAsia" w:ascii="宋体" w:hAnsi="宋体" w:eastAsia="宋体"/>
          <w:sz w:val="24"/>
          <w:szCs w:val="24"/>
        </w:rPr>
        <w:t>元/件至5</w:t>
      </w:r>
      <w:r>
        <w:rPr>
          <w:rFonts w:ascii="宋体" w:hAnsi="宋体" w:eastAsia="宋体"/>
          <w:sz w:val="24"/>
          <w:szCs w:val="24"/>
        </w:rPr>
        <w:t>0000</w:t>
      </w:r>
      <w:r>
        <w:rPr>
          <w:rFonts w:hint="eastAsia" w:ascii="宋体" w:hAnsi="宋体" w:eastAsia="宋体"/>
          <w:sz w:val="24"/>
          <w:szCs w:val="24"/>
        </w:rPr>
        <w:t>元/件；</w:t>
      </w:r>
    </w:p>
    <w:p>
      <w:pPr>
        <w:pStyle w:val="9"/>
        <w:spacing w:line="360" w:lineRule="auto"/>
        <w:ind w:left="709" w:firstLine="0" w:firstLineChars="0"/>
        <w:rPr>
          <w:rFonts w:ascii="宋体" w:hAnsi="宋体" w:eastAsia="宋体"/>
          <w:sz w:val="24"/>
          <w:szCs w:val="24"/>
        </w:rPr>
      </w:pPr>
      <w:r>
        <w:rPr>
          <w:rFonts w:hint="eastAsia" w:ascii="宋体" w:hAnsi="宋体" w:eastAsia="宋体"/>
          <w:sz w:val="24"/>
          <w:szCs w:val="24"/>
        </w:rPr>
        <w:t>审查起诉阶段收费范围为1</w:t>
      </w:r>
      <w:r>
        <w:rPr>
          <w:rFonts w:ascii="宋体" w:hAnsi="宋体" w:eastAsia="宋体"/>
          <w:sz w:val="24"/>
          <w:szCs w:val="24"/>
        </w:rPr>
        <w:t>0000</w:t>
      </w:r>
      <w:r>
        <w:rPr>
          <w:rFonts w:hint="eastAsia" w:ascii="宋体" w:hAnsi="宋体" w:eastAsia="宋体"/>
          <w:sz w:val="24"/>
          <w:szCs w:val="24"/>
        </w:rPr>
        <w:t>元/件至5</w:t>
      </w:r>
      <w:r>
        <w:rPr>
          <w:rFonts w:ascii="宋体" w:hAnsi="宋体" w:eastAsia="宋体"/>
          <w:sz w:val="24"/>
          <w:szCs w:val="24"/>
        </w:rPr>
        <w:t>0000</w:t>
      </w:r>
      <w:r>
        <w:rPr>
          <w:rFonts w:hint="eastAsia" w:ascii="宋体" w:hAnsi="宋体" w:eastAsia="宋体"/>
          <w:sz w:val="24"/>
          <w:szCs w:val="24"/>
        </w:rPr>
        <w:t>元/件；</w:t>
      </w:r>
    </w:p>
    <w:p>
      <w:pPr>
        <w:pStyle w:val="9"/>
        <w:spacing w:line="360" w:lineRule="auto"/>
        <w:ind w:left="709" w:firstLine="0" w:firstLineChars="0"/>
        <w:rPr>
          <w:rFonts w:ascii="宋体" w:hAnsi="宋体" w:eastAsia="宋体"/>
          <w:sz w:val="24"/>
          <w:szCs w:val="24"/>
        </w:rPr>
      </w:pPr>
      <w:r>
        <w:rPr>
          <w:rFonts w:hint="eastAsia" w:ascii="宋体" w:hAnsi="宋体" w:eastAsia="宋体"/>
          <w:sz w:val="24"/>
          <w:szCs w:val="24"/>
        </w:rPr>
        <w:t>一审阶段收费范围为1</w:t>
      </w:r>
      <w:r>
        <w:rPr>
          <w:rFonts w:ascii="宋体" w:hAnsi="宋体" w:eastAsia="宋体"/>
          <w:sz w:val="24"/>
          <w:szCs w:val="24"/>
        </w:rPr>
        <w:t>5000</w:t>
      </w:r>
      <w:r>
        <w:rPr>
          <w:rFonts w:hint="eastAsia" w:ascii="宋体" w:hAnsi="宋体" w:eastAsia="宋体"/>
          <w:sz w:val="24"/>
          <w:szCs w:val="24"/>
        </w:rPr>
        <w:t>元/件至1</w:t>
      </w:r>
      <w:r>
        <w:rPr>
          <w:rFonts w:ascii="宋体" w:hAnsi="宋体" w:eastAsia="宋体"/>
          <w:sz w:val="24"/>
          <w:szCs w:val="24"/>
        </w:rPr>
        <w:t>50000</w:t>
      </w:r>
      <w:r>
        <w:rPr>
          <w:rFonts w:hint="eastAsia" w:ascii="宋体" w:hAnsi="宋体" w:eastAsia="宋体"/>
          <w:sz w:val="24"/>
          <w:szCs w:val="24"/>
        </w:rPr>
        <w:t>元/件。</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代理刑事自诉案件或担任被害人代理人的，按照上述刑事案件标准酌减收费。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刑事案件的犯罪嫌疑人、被告人同时涉及数个罪名或数起犯罪事实，按照所涉罪名或犯罪事实分别计件收费。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刑事附带民事诉讼案件的民事诉讼部分，按照民事诉讼案件标准收费。</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b/>
          <w:bCs/>
          <w:sz w:val="24"/>
          <w:szCs w:val="24"/>
        </w:rPr>
        <w:t>第六章 按标的额比例收费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按标的额比例收费是指根据本所律师办理法律事务涉及的标的额，确定一定比例来计算收取律师服务报酬的收费方式。</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w:t>
      </w:r>
      <w:r>
        <w:rPr>
          <w:rFonts w:hint="eastAsia" w:ascii="宋体" w:hAnsi="宋体" w:eastAsia="宋体"/>
          <w:sz w:val="24"/>
          <w:szCs w:val="24"/>
          <w:lang w:val="en-US" w:eastAsia="zh-CN"/>
        </w:rPr>
        <w:t>律师调解、</w:t>
      </w:r>
      <w:r>
        <w:rPr>
          <w:rFonts w:ascii="宋体" w:hAnsi="宋体" w:eastAsia="宋体"/>
          <w:sz w:val="24"/>
          <w:szCs w:val="24"/>
        </w:rPr>
        <w:t>代理民事、行政案件或国家赔偿案件，涉及财产的</w:t>
      </w:r>
      <w:r>
        <w:rPr>
          <w:rFonts w:hint="eastAsia" w:ascii="宋体" w:hAnsi="宋体" w:eastAsia="宋体"/>
          <w:sz w:val="24"/>
          <w:szCs w:val="24"/>
        </w:rPr>
        <w:t>，按标的额比例收费标准如下：</w:t>
      </w:r>
    </w:p>
    <w:p>
      <w:pPr>
        <w:pStyle w:val="9"/>
        <w:numPr>
          <w:ilvl w:val="0"/>
          <w:numId w:val="3"/>
        </w:numPr>
        <w:spacing w:line="360" w:lineRule="auto"/>
        <w:ind w:left="709" w:hanging="709"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万元以下（含1</w:t>
      </w:r>
      <w:r>
        <w:rPr>
          <w:rFonts w:ascii="宋体" w:hAnsi="宋体" w:eastAsia="宋体"/>
          <w:sz w:val="24"/>
          <w:szCs w:val="24"/>
        </w:rPr>
        <w:t>0</w:t>
      </w:r>
      <w:r>
        <w:rPr>
          <w:rFonts w:hint="eastAsia" w:ascii="宋体" w:hAnsi="宋体" w:eastAsia="宋体"/>
          <w:sz w:val="24"/>
          <w:szCs w:val="24"/>
        </w:rPr>
        <w:t>万元）部分收费的比例为8%至1</w:t>
      </w:r>
      <w:r>
        <w:rPr>
          <w:rFonts w:ascii="宋体" w:hAnsi="宋体" w:eastAsia="宋体"/>
          <w:sz w:val="24"/>
          <w:szCs w:val="24"/>
        </w:rPr>
        <w:t>2</w:t>
      </w:r>
      <w:r>
        <w:rPr>
          <w:rFonts w:hint="eastAsia" w:ascii="宋体" w:hAnsi="宋体" w:eastAsia="宋体"/>
          <w:sz w:val="24"/>
          <w:szCs w:val="24"/>
        </w:rPr>
        <w:t>%，收费不足3</w:t>
      </w:r>
      <w:r>
        <w:rPr>
          <w:rFonts w:ascii="宋体" w:hAnsi="宋体" w:eastAsia="宋体"/>
          <w:sz w:val="24"/>
          <w:szCs w:val="24"/>
        </w:rPr>
        <w:t>000</w:t>
      </w:r>
      <w:r>
        <w:rPr>
          <w:rFonts w:hint="eastAsia" w:ascii="宋体" w:hAnsi="宋体" w:eastAsia="宋体"/>
          <w:sz w:val="24"/>
          <w:szCs w:val="24"/>
        </w:rPr>
        <w:t>元的，可按3</w:t>
      </w:r>
      <w:r>
        <w:rPr>
          <w:rFonts w:ascii="宋体" w:hAnsi="宋体" w:eastAsia="宋体"/>
          <w:sz w:val="24"/>
          <w:szCs w:val="24"/>
        </w:rPr>
        <w:t>000</w:t>
      </w:r>
      <w:r>
        <w:rPr>
          <w:rFonts w:hint="eastAsia" w:ascii="宋体" w:hAnsi="宋体" w:eastAsia="宋体"/>
          <w:sz w:val="24"/>
          <w:szCs w:val="24"/>
        </w:rPr>
        <w:t>元收取；</w:t>
      </w:r>
    </w:p>
    <w:p>
      <w:pPr>
        <w:pStyle w:val="9"/>
        <w:numPr>
          <w:ilvl w:val="0"/>
          <w:numId w:val="3"/>
        </w:numPr>
        <w:spacing w:line="360" w:lineRule="auto"/>
        <w:ind w:left="709" w:hanging="709"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万元以上至1</w:t>
      </w:r>
      <w:r>
        <w:rPr>
          <w:rFonts w:ascii="宋体" w:hAnsi="宋体" w:eastAsia="宋体"/>
          <w:sz w:val="24"/>
          <w:szCs w:val="24"/>
        </w:rPr>
        <w:t>00</w:t>
      </w:r>
      <w:r>
        <w:rPr>
          <w:rFonts w:hint="eastAsia" w:ascii="宋体" w:hAnsi="宋体" w:eastAsia="宋体"/>
          <w:sz w:val="24"/>
          <w:szCs w:val="24"/>
        </w:rPr>
        <w:t>万元（含1</w:t>
      </w:r>
      <w:r>
        <w:rPr>
          <w:rFonts w:ascii="宋体" w:hAnsi="宋体" w:eastAsia="宋体"/>
          <w:sz w:val="24"/>
          <w:szCs w:val="24"/>
        </w:rPr>
        <w:t>00</w:t>
      </w:r>
      <w:r>
        <w:rPr>
          <w:rFonts w:hint="eastAsia" w:ascii="宋体" w:hAnsi="宋体" w:eastAsia="宋体"/>
          <w:sz w:val="24"/>
          <w:szCs w:val="24"/>
        </w:rPr>
        <w:t>万元）部分收费的比例为5%至7%；</w:t>
      </w:r>
    </w:p>
    <w:p>
      <w:pPr>
        <w:pStyle w:val="9"/>
        <w:numPr>
          <w:ilvl w:val="0"/>
          <w:numId w:val="3"/>
        </w:numPr>
        <w:spacing w:line="360" w:lineRule="auto"/>
        <w:ind w:left="709" w:hanging="709"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w:t>
      </w:r>
      <w:r>
        <w:rPr>
          <w:rFonts w:hint="eastAsia" w:ascii="宋体" w:hAnsi="宋体" w:eastAsia="宋体"/>
          <w:sz w:val="24"/>
          <w:szCs w:val="24"/>
        </w:rPr>
        <w:t>万元以上至1</w:t>
      </w:r>
      <w:r>
        <w:rPr>
          <w:rFonts w:ascii="宋体" w:hAnsi="宋体" w:eastAsia="宋体"/>
          <w:sz w:val="24"/>
          <w:szCs w:val="24"/>
        </w:rPr>
        <w:t>000</w:t>
      </w:r>
      <w:r>
        <w:rPr>
          <w:rFonts w:hint="eastAsia" w:ascii="宋体" w:hAnsi="宋体" w:eastAsia="宋体"/>
          <w:sz w:val="24"/>
          <w:szCs w:val="24"/>
        </w:rPr>
        <w:t>万元（含1</w:t>
      </w:r>
      <w:r>
        <w:rPr>
          <w:rFonts w:ascii="宋体" w:hAnsi="宋体" w:eastAsia="宋体"/>
          <w:sz w:val="24"/>
          <w:szCs w:val="24"/>
        </w:rPr>
        <w:t>000</w:t>
      </w:r>
      <w:r>
        <w:rPr>
          <w:rFonts w:hint="eastAsia" w:ascii="宋体" w:hAnsi="宋体" w:eastAsia="宋体"/>
          <w:sz w:val="24"/>
          <w:szCs w:val="24"/>
        </w:rPr>
        <w:t>万元）部分收费的比例为3%至5%；</w:t>
      </w:r>
    </w:p>
    <w:p>
      <w:pPr>
        <w:pStyle w:val="9"/>
        <w:numPr>
          <w:ilvl w:val="0"/>
          <w:numId w:val="3"/>
        </w:numPr>
        <w:spacing w:line="360" w:lineRule="auto"/>
        <w:ind w:left="709" w:hanging="709"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000</w:t>
      </w:r>
      <w:r>
        <w:rPr>
          <w:rFonts w:hint="eastAsia" w:ascii="宋体" w:hAnsi="宋体" w:eastAsia="宋体"/>
          <w:sz w:val="24"/>
          <w:szCs w:val="24"/>
        </w:rPr>
        <w:t>万元以上至1亿元（含1亿元）部分收费的比例为1%至3%；</w:t>
      </w:r>
    </w:p>
    <w:p>
      <w:pPr>
        <w:pStyle w:val="9"/>
        <w:numPr>
          <w:ilvl w:val="0"/>
          <w:numId w:val="3"/>
        </w:numPr>
        <w:spacing w:line="360" w:lineRule="auto"/>
        <w:ind w:left="709" w:hanging="709" w:firstLineChars="0"/>
        <w:rPr>
          <w:rFonts w:ascii="宋体" w:hAnsi="宋体" w:eastAsia="宋体"/>
          <w:sz w:val="24"/>
          <w:szCs w:val="24"/>
        </w:rPr>
      </w:pPr>
      <w:r>
        <w:rPr>
          <w:rFonts w:hint="eastAsia" w:ascii="宋体" w:hAnsi="宋体" w:eastAsia="宋体"/>
          <w:sz w:val="24"/>
          <w:szCs w:val="24"/>
        </w:rPr>
        <w:t>1亿以上部分收费的比例为</w:t>
      </w:r>
      <w:r>
        <w:rPr>
          <w:rFonts w:ascii="宋体" w:hAnsi="宋体" w:eastAsia="宋体"/>
          <w:sz w:val="24"/>
          <w:szCs w:val="24"/>
        </w:rPr>
        <w:t>0.5</w:t>
      </w:r>
      <w:r>
        <w:rPr>
          <w:rFonts w:hint="eastAsia" w:ascii="宋体" w:hAnsi="宋体" w:eastAsia="宋体"/>
          <w:sz w:val="24"/>
          <w:szCs w:val="24"/>
        </w:rPr>
        <w:t>%至1%。</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前述收费标准，除另有指明外，是指诉讼案件一审阶段的收费标准。单独代理二审、死刑复核、再审、执行案件的，按照一审阶段收费标准执行。曾代理前一阶段的，后一阶段起减半收取。反诉案件，可以在本诉案件收费的基础上由本所与委托人协商确定。</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代理各类诉讼案件的申诉，按照一审阶段收费标准执行。</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民事、行政诉讼案件同时涉及财产和非财产关系的，可按较高者计算并收费。</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b/>
          <w:bCs/>
          <w:sz w:val="24"/>
          <w:szCs w:val="24"/>
        </w:rPr>
        <w:t>第七章 风险代理收费</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风险代理收费是指将律师收费与办理法律事务的结果相挂钩，依据办理法律事务的结果来计算收取律师服务报酬的收费方式。</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禁止刑事诉讼案件、行政诉讼案件、国家赔偿案件、群体性诉讼案件、婚姻继承案件，以及请求给予社会保险待遇、最低生活保障待遇、赡养费、抚养费、扶养费、抚恤金、救济金、工伤赔偿、劳动报酬的案件实行或者变相实行风险代理。</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本所律师不得滥用专业优势地位，对本所与当事人各自承担的风险责任做出明显不合理的约定，不得在风险代理合同中排除或者限制当事人上诉人、撤诉、调解、和解等诉讼权利。</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应当与委托人签订风险代理收费合同，并在风险代理收费合同和/或律师谈话笔录中以醒目方式明确告知当事人风险代理的含义、禁止适用风险代理案件范围、风险代理最高收费金额限制等事项，并就当事人委托的法律服务事项可能发生的风险、双方约定的委托事项应达成的目标、双方各自承担的风险和责任等进行提示。</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诉与当事人约定风险代理收费的，可以按照固定的金额收费，也可以按照当事人最终实现的债权或者减免的债务金额（以下简称“标的额”）的一定比例收费。本所在风险代理各个环节收取的律师服务费合计最高金额应当符合下列规定：</w:t>
      </w:r>
    </w:p>
    <w:p>
      <w:pPr>
        <w:pStyle w:val="9"/>
        <w:numPr>
          <w:ilvl w:val="0"/>
          <w:numId w:val="4"/>
        </w:numPr>
        <w:spacing w:line="360" w:lineRule="auto"/>
        <w:ind w:left="709" w:hanging="709" w:firstLineChars="0"/>
        <w:rPr>
          <w:rFonts w:ascii="宋体" w:hAnsi="宋体" w:eastAsia="宋体"/>
          <w:sz w:val="24"/>
          <w:szCs w:val="24"/>
        </w:rPr>
      </w:pPr>
      <w:r>
        <w:rPr>
          <w:rFonts w:hint="eastAsia" w:ascii="宋体" w:hAnsi="宋体" w:eastAsia="宋体"/>
          <w:sz w:val="24"/>
          <w:szCs w:val="24"/>
        </w:rPr>
        <w:t>标的额不足1</w:t>
      </w:r>
      <w:r>
        <w:rPr>
          <w:rFonts w:ascii="宋体" w:hAnsi="宋体" w:eastAsia="宋体"/>
          <w:sz w:val="24"/>
          <w:szCs w:val="24"/>
        </w:rPr>
        <w:t>00</w:t>
      </w:r>
      <w:r>
        <w:rPr>
          <w:rFonts w:hint="eastAsia" w:ascii="宋体" w:hAnsi="宋体" w:eastAsia="宋体"/>
          <w:sz w:val="24"/>
          <w:szCs w:val="24"/>
        </w:rPr>
        <w:t>万元的部分，不得超过标的额的1</w:t>
      </w:r>
      <w:r>
        <w:rPr>
          <w:rFonts w:ascii="宋体" w:hAnsi="宋体" w:eastAsia="宋体"/>
          <w:sz w:val="24"/>
          <w:szCs w:val="24"/>
        </w:rPr>
        <w:t>8%</w:t>
      </w:r>
      <w:r>
        <w:rPr>
          <w:rFonts w:hint="eastAsia" w:ascii="宋体" w:hAnsi="宋体" w:eastAsia="宋体"/>
          <w:sz w:val="24"/>
          <w:szCs w:val="24"/>
        </w:rPr>
        <w:t>；</w:t>
      </w:r>
    </w:p>
    <w:p>
      <w:pPr>
        <w:pStyle w:val="9"/>
        <w:numPr>
          <w:ilvl w:val="0"/>
          <w:numId w:val="4"/>
        </w:numPr>
        <w:spacing w:line="360" w:lineRule="auto"/>
        <w:ind w:left="709" w:hanging="709" w:firstLineChars="0"/>
        <w:rPr>
          <w:rFonts w:ascii="宋体" w:hAnsi="宋体" w:eastAsia="宋体"/>
          <w:sz w:val="24"/>
          <w:szCs w:val="24"/>
        </w:rPr>
      </w:pPr>
      <w:r>
        <w:rPr>
          <w:rFonts w:hint="eastAsia" w:ascii="宋体" w:hAnsi="宋体" w:eastAsia="宋体"/>
          <w:sz w:val="24"/>
          <w:szCs w:val="24"/>
        </w:rPr>
        <w:t>标的额在1</w:t>
      </w:r>
      <w:r>
        <w:rPr>
          <w:rFonts w:ascii="宋体" w:hAnsi="宋体" w:eastAsia="宋体"/>
          <w:sz w:val="24"/>
          <w:szCs w:val="24"/>
        </w:rPr>
        <w:t>00</w:t>
      </w:r>
      <w:r>
        <w:rPr>
          <w:rFonts w:hint="eastAsia" w:ascii="宋体" w:hAnsi="宋体" w:eastAsia="宋体"/>
          <w:sz w:val="24"/>
          <w:szCs w:val="24"/>
        </w:rPr>
        <w:t>万元以上不足5</w:t>
      </w:r>
      <w:r>
        <w:rPr>
          <w:rFonts w:ascii="宋体" w:hAnsi="宋体" w:eastAsia="宋体"/>
          <w:sz w:val="24"/>
          <w:szCs w:val="24"/>
        </w:rPr>
        <w:t>00</w:t>
      </w:r>
      <w:r>
        <w:rPr>
          <w:rFonts w:hint="eastAsia" w:ascii="宋体" w:hAnsi="宋体" w:eastAsia="宋体"/>
          <w:sz w:val="24"/>
          <w:szCs w:val="24"/>
        </w:rPr>
        <w:t>万元的部分，不得超过标的额的1</w:t>
      </w:r>
      <w:r>
        <w:rPr>
          <w:rFonts w:ascii="宋体" w:hAnsi="宋体" w:eastAsia="宋体"/>
          <w:sz w:val="24"/>
          <w:szCs w:val="24"/>
        </w:rPr>
        <w:t>5%</w:t>
      </w:r>
      <w:r>
        <w:rPr>
          <w:rFonts w:hint="eastAsia" w:ascii="宋体" w:hAnsi="宋体" w:eastAsia="宋体"/>
          <w:sz w:val="24"/>
          <w:szCs w:val="24"/>
        </w:rPr>
        <w:t>；</w:t>
      </w:r>
    </w:p>
    <w:p>
      <w:pPr>
        <w:pStyle w:val="9"/>
        <w:numPr>
          <w:ilvl w:val="0"/>
          <w:numId w:val="4"/>
        </w:numPr>
        <w:spacing w:line="360" w:lineRule="auto"/>
        <w:ind w:left="709" w:hanging="709" w:firstLineChars="0"/>
        <w:rPr>
          <w:rFonts w:ascii="宋体" w:hAnsi="宋体" w:eastAsia="宋体"/>
          <w:sz w:val="24"/>
          <w:szCs w:val="24"/>
        </w:rPr>
      </w:pPr>
      <w:r>
        <w:rPr>
          <w:rFonts w:hint="eastAsia" w:ascii="宋体" w:hAnsi="宋体" w:eastAsia="宋体"/>
          <w:sz w:val="24"/>
          <w:szCs w:val="24"/>
        </w:rPr>
        <w:t>标的额在5</w:t>
      </w:r>
      <w:r>
        <w:rPr>
          <w:rFonts w:ascii="宋体" w:hAnsi="宋体" w:eastAsia="宋体"/>
          <w:sz w:val="24"/>
          <w:szCs w:val="24"/>
        </w:rPr>
        <w:t>00</w:t>
      </w:r>
      <w:r>
        <w:rPr>
          <w:rFonts w:hint="eastAsia" w:ascii="宋体" w:hAnsi="宋体" w:eastAsia="宋体"/>
          <w:sz w:val="24"/>
          <w:szCs w:val="24"/>
        </w:rPr>
        <w:t>万元以上不足1</w:t>
      </w:r>
      <w:r>
        <w:rPr>
          <w:rFonts w:ascii="宋体" w:hAnsi="宋体" w:eastAsia="宋体"/>
          <w:sz w:val="24"/>
          <w:szCs w:val="24"/>
        </w:rPr>
        <w:t>000</w:t>
      </w:r>
      <w:r>
        <w:rPr>
          <w:rFonts w:hint="eastAsia" w:ascii="宋体" w:hAnsi="宋体" w:eastAsia="宋体"/>
          <w:sz w:val="24"/>
          <w:szCs w:val="24"/>
        </w:rPr>
        <w:t>万元的部分，不得超过标的额的1</w:t>
      </w:r>
      <w:r>
        <w:rPr>
          <w:rFonts w:ascii="宋体" w:hAnsi="宋体" w:eastAsia="宋体"/>
          <w:sz w:val="24"/>
          <w:szCs w:val="24"/>
        </w:rPr>
        <w:t>2%</w:t>
      </w:r>
      <w:r>
        <w:rPr>
          <w:rFonts w:hint="eastAsia" w:ascii="宋体" w:hAnsi="宋体" w:eastAsia="宋体"/>
          <w:sz w:val="24"/>
          <w:szCs w:val="24"/>
        </w:rPr>
        <w:t>；</w:t>
      </w:r>
    </w:p>
    <w:p>
      <w:pPr>
        <w:pStyle w:val="9"/>
        <w:numPr>
          <w:ilvl w:val="0"/>
          <w:numId w:val="4"/>
        </w:numPr>
        <w:spacing w:line="360" w:lineRule="auto"/>
        <w:ind w:left="709" w:hanging="709" w:firstLineChars="0"/>
        <w:rPr>
          <w:rFonts w:ascii="宋体" w:hAnsi="宋体" w:eastAsia="宋体"/>
          <w:sz w:val="24"/>
          <w:szCs w:val="24"/>
        </w:rPr>
      </w:pPr>
      <w:r>
        <w:rPr>
          <w:rFonts w:hint="eastAsia" w:ascii="宋体" w:hAnsi="宋体" w:eastAsia="宋体"/>
          <w:sz w:val="24"/>
          <w:szCs w:val="24"/>
        </w:rPr>
        <w:t>标的额在1</w:t>
      </w:r>
      <w:r>
        <w:rPr>
          <w:rFonts w:ascii="宋体" w:hAnsi="宋体" w:eastAsia="宋体"/>
          <w:sz w:val="24"/>
          <w:szCs w:val="24"/>
        </w:rPr>
        <w:t>000</w:t>
      </w:r>
      <w:r>
        <w:rPr>
          <w:rFonts w:hint="eastAsia" w:ascii="宋体" w:hAnsi="宋体" w:eastAsia="宋体"/>
          <w:sz w:val="24"/>
          <w:szCs w:val="24"/>
        </w:rPr>
        <w:t>万元以上不足5</w:t>
      </w:r>
      <w:r>
        <w:rPr>
          <w:rFonts w:ascii="宋体" w:hAnsi="宋体" w:eastAsia="宋体"/>
          <w:sz w:val="24"/>
          <w:szCs w:val="24"/>
        </w:rPr>
        <w:t>000</w:t>
      </w:r>
      <w:r>
        <w:rPr>
          <w:rFonts w:hint="eastAsia" w:ascii="宋体" w:hAnsi="宋体" w:eastAsia="宋体"/>
          <w:sz w:val="24"/>
          <w:szCs w:val="24"/>
        </w:rPr>
        <w:t>万元的部分，不得超过标的额的9</w:t>
      </w:r>
      <w:r>
        <w:rPr>
          <w:rFonts w:ascii="宋体" w:hAnsi="宋体" w:eastAsia="宋体"/>
          <w:sz w:val="24"/>
          <w:szCs w:val="24"/>
        </w:rPr>
        <w:t>%</w:t>
      </w:r>
      <w:r>
        <w:rPr>
          <w:rFonts w:hint="eastAsia" w:ascii="宋体" w:hAnsi="宋体" w:eastAsia="宋体"/>
          <w:sz w:val="24"/>
          <w:szCs w:val="24"/>
        </w:rPr>
        <w:t>；</w:t>
      </w:r>
    </w:p>
    <w:p>
      <w:pPr>
        <w:pStyle w:val="9"/>
        <w:numPr>
          <w:ilvl w:val="0"/>
          <w:numId w:val="4"/>
        </w:numPr>
        <w:spacing w:line="360" w:lineRule="auto"/>
        <w:ind w:left="709" w:hanging="709" w:firstLineChars="0"/>
        <w:rPr>
          <w:rFonts w:ascii="宋体" w:hAnsi="宋体" w:eastAsia="宋体"/>
          <w:sz w:val="24"/>
          <w:szCs w:val="24"/>
        </w:rPr>
      </w:pPr>
      <w:r>
        <w:rPr>
          <w:rFonts w:hint="eastAsia" w:ascii="宋体" w:hAnsi="宋体" w:eastAsia="宋体"/>
          <w:sz w:val="24"/>
          <w:szCs w:val="24"/>
        </w:rPr>
        <w:t>标的额在5</w:t>
      </w:r>
      <w:r>
        <w:rPr>
          <w:rFonts w:ascii="宋体" w:hAnsi="宋体" w:eastAsia="宋体"/>
          <w:sz w:val="24"/>
          <w:szCs w:val="24"/>
        </w:rPr>
        <w:t>000</w:t>
      </w:r>
      <w:r>
        <w:rPr>
          <w:rFonts w:hint="eastAsia" w:ascii="宋体" w:hAnsi="宋体" w:eastAsia="宋体"/>
          <w:sz w:val="24"/>
          <w:szCs w:val="24"/>
        </w:rPr>
        <w:t>万元以上的部分，不得超过标的额的6</w:t>
      </w:r>
      <w:r>
        <w:rPr>
          <w:rFonts w:ascii="宋体" w:hAnsi="宋体" w:eastAsia="宋体"/>
          <w:sz w:val="24"/>
          <w:szCs w:val="24"/>
        </w:rPr>
        <w:t>%</w:t>
      </w:r>
      <w:r>
        <w:rPr>
          <w:rFonts w:hint="eastAsia" w:ascii="宋体" w:hAnsi="宋体" w:eastAsia="宋体"/>
          <w:sz w:val="24"/>
          <w:szCs w:val="24"/>
        </w:rPr>
        <w:t>。</w:t>
      </w:r>
    </w:p>
    <w:p>
      <w:pPr>
        <w:spacing w:line="360" w:lineRule="auto"/>
        <w:rPr>
          <w:rFonts w:ascii="宋体" w:hAnsi="宋体" w:eastAsia="宋体"/>
          <w:sz w:val="24"/>
          <w:szCs w:val="24"/>
        </w:rPr>
      </w:pPr>
    </w:p>
    <w:p>
      <w:pPr>
        <w:spacing w:line="360" w:lineRule="auto"/>
        <w:jc w:val="center"/>
        <w:rPr>
          <w:rFonts w:ascii="宋体" w:hAnsi="宋体" w:eastAsia="宋体"/>
          <w:b/>
          <w:bCs/>
          <w:sz w:val="24"/>
          <w:szCs w:val="24"/>
        </w:rPr>
      </w:pPr>
      <w:r>
        <w:rPr>
          <w:rFonts w:hint="eastAsia" w:ascii="宋体" w:hAnsi="宋体" w:eastAsia="宋体"/>
          <w:b/>
          <w:bCs/>
          <w:sz w:val="24"/>
          <w:szCs w:val="24"/>
        </w:rPr>
        <w:t>第八章 协商收费方式</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经本所与委托人协商一致，可以自行协商确定律师服务费收费标准。</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重大、疑难、复杂诉讼案件经本所与委托人协商一致，可以在上述标准5倍之内（含5倍）协商确定收费标准。对重大、疑难、复杂案件的认定参照《上海市律师协会关于律师服务收费中重大、疑难、复杂诉讼案件的认定标准及实施办法》。</w:t>
      </w:r>
    </w:p>
    <w:p>
      <w:pPr>
        <w:spacing w:line="360" w:lineRule="auto"/>
        <w:jc w:val="left"/>
        <w:rPr>
          <w:rFonts w:ascii="宋体" w:hAnsi="宋体" w:eastAsia="宋体"/>
          <w:b/>
          <w:bCs/>
          <w:sz w:val="24"/>
          <w:szCs w:val="24"/>
        </w:rPr>
      </w:pPr>
    </w:p>
    <w:p>
      <w:pPr>
        <w:spacing w:line="360" w:lineRule="auto"/>
        <w:jc w:val="center"/>
        <w:rPr>
          <w:rFonts w:ascii="宋体" w:hAnsi="宋体" w:eastAsia="宋体"/>
          <w:b/>
          <w:bCs/>
          <w:sz w:val="24"/>
          <w:szCs w:val="24"/>
        </w:rPr>
      </w:pPr>
      <w:r>
        <w:rPr>
          <w:rFonts w:hint="eastAsia" w:ascii="宋体" w:hAnsi="宋体" w:eastAsia="宋体"/>
          <w:b/>
          <w:bCs/>
          <w:sz w:val="24"/>
          <w:szCs w:val="24"/>
        </w:rPr>
        <w:t>第九章 监督检查</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本所完善违法违规收费投诉处理机制，重点查处涉及群众切身利益的民生类案件中律师服务收费投诉。</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对本所律师私自收费、违规风险代理收费、变现乱收费以及向司法人员、仲裁员疏通关系为由收取所谓的“办案费”、“顾问费”等违法违规收费行为，本所将通报上海市律师协会依据《律师法》等法律法规对其进行行业处分。</w:t>
      </w:r>
    </w:p>
    <w:p>
      <w:pPr>
        <w:pStyle w:val="9"/>
        <w:spacing w:line="360" w:lineRule="auto"/>
        <w:ind w:firstLine="0" w:firstLineChars="0"/>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b/>
          <w:bCs/>
          <w:sz w:val="24"/>
          <w:szCs w:val="24"/>
        </w:rPr>
        <w:t>第十章 附则</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本律师服务费收费标准管理办法经上海</w:t>
      </w:r>
      <w:r>
        <w:rPr>
          <w:rFonts w:hint="eastAsia" w:ascii="宋体" w:hAnsi="宋体" w:eastAsia="宋体"/>
          <w:sz w:val="24"/>
          <w:szCs w:val="24"/>
          <w:lang w:val="en-US" w:eastAsia="zh-CN"/>
        </w:rPr>
        <w:t>市</w:t>
      </w:r>
      <w:r>
        <w:rPr>
          <w:rFonts w:hint="eastAsia" w:ascii="宋体" w:hAnsi="宋体" w:eastAsia="宋体"/>
          <w:sz w:val="24"/>
          <w:szCs w:val="24"/>
        </w:rPr>
        <w:t>新闵律师事务所全体合伙人会议通过，即日起生效并实行。</w:t>
      </w:r>
    </w:p>
    <w:p>
      <w:pPr>
        <w:pStyle w:val="9"/>
        <w:numPr>
          <w:ilvl w:val="0"/>
          <w:numId w:val="1"/>
        </w:numPr>
        <w:spacing w:line="360" w:lineRule="auto"/>
        <w:ind w:left="0" w:firstLine="0" w:firstLineChars="0"/>
        <w:rPr>
          <w:rFonts w:ascii="宋体" w:hAnsi="宋体" w:eastAsia="宋体"/>
          <w:sz w:val="24"/>
          <w:szCs w:val="24"/>
        </w:rPr>
      </w:pPr>
      <w:r>
        <w:rPr>
          <w:rFonts w:hint="eastAsia" w:ascii="宋体" w:hAnsi="宋体" w:eastAsia="宋体"/>
          <w:sz w:val="24"/>
          <w:szCs w:val="24"/>
        </w:rPr>
        <w:t>本律师服务费收费标准管理办法由上海</w:t>
      </w:r>
      <w:r>
        <w:rPr>
          <w:rFonts w:hint="eastAsia" w:ascii="宋体" w:hAnsi="宋体" w:eastAsia="宋体"/>
          <w:sz w:val="24"/>
          <w:szCs w:val="24"/>
          <w:lang w:val="en-US" w:eastAsia="zh-CN"/>
        </w:rPr>
        <w:t>市</w:t>
      </w:r>
      <w:r>
        <w:rPr>
          <w:rFonts w:hint="eastAsia" w:ascii="宋体" w:hAnsi="宋体" w:eastAsia="宋体"/>
          <w:sz w:val="24"/>
          <w:szCs w:val="24"/>
        </w:rPr>
        <w:t>新闵律师事务所负责人负责解释。</w:t>
      </w:r>
    </w:p>
    <w:p>
      <w:pPr>
        <w:pStyle w:val="9"/>
        <w:spacing w:line="360" w:lineRule="auto"/>
        <w:ind w:left="1134" w:firstLine="0" w:firstLineChars="0"/>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68231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F0E4B"/>
    <w:multiLevelType w:val="multilevel"/>
    <w:tmpl w:val="087F0E4B"/>
    <w:lvl w:ilvl="0" w:tentative="0">
      <w:start w:val="1"/>
      <w:numFmt w:val="chineseCountingThousand"/>
      <w:lvlText w:val="(%1)"/>
      <w:lvlJc w:val="left"/>
      <w:pPr>
        <w:ind w:left="1574" w:hanging="440"/>
      </w:pPr>
    </w:lvl>
    <w:lvl w:ilvl="1" w:tentative="0">
      <w:start w:val="1"/>
      <w:numFmt w:val="lowerLetter"/>
      <w:lvlText w:val="%2)"/>
      <w:lvlJc w:val="left"/>
      <w:pPr>
        <w:ind w:left="2014" w:hanging="440"/>
      </w:pPr>
    </w:lvl>
    <w:lvl w:ilvl="2" w:tentative="0">
      <w:start w:val="1"/>
      <w:numFmt w:val="lowerRoman"/>
      <w:lvlText w:val="%3."/>
      <w:lvlJc w:val="right"/>
      <w:pPr>
        <w:ind w:left="2454" w:hanging="440"/>
      </w:pPr>
    </w:lvl>
    <w:lvl w:ilvl="3" w:tentative="0">
      <w:start w:val="1"/>
      <w:numFmt w:val="decimal"/>
      <w:lvlText w:val="%4."/>
      <w:lvlJc w:val="left"/>
      <w:pPr>
        <w:ind w:left="2894" w:hanging="440"/>
      </w:pPr>
    </w:lvl>
    <w:lvl w:ilvl="4" w:tentative="0">
      <w:start w:val="1"/>
      <w:numFmt w:val="lowerLetter"/>
      <w:lvlText w:val="%5)"/>
      <w:lvlJc w:val="left"/>
      <w:pPr>
        <w:ind w:left="3334" w:hanging="440"/>
      </w:pPr>
    </w:lvl>
    <w:lvl w:ilvl="5" w:tentative="0">
      <w:start w:val="1"/>
      <w:numFmt w:val="lowerRoman"/>
      <w:lvlText w:val="%6."/>
      <w:lvlJc w:val="right"/>
      <w:pPr>
        <w:ind w:left="3774" w:hanging="440"/>
      </w:pPr>
    </w:lvl>
    <w:lvl w:ilvl="6" w:tentative="0">
      <w:start w:val="1"/>
      <w:numFmt w:val="decimal"/>
      <w:lvlText w:val="%7."/>
      <w:lvlJc w:val="left"/>
      <w:pPr>
        <w:ind w:left="4214" w:hanging="440"/>
      </w:pPr>
    </w:lvl>
    <w:lvl w:ilvl="7" w:tentative="0">
      <w:start w:val="1"/>
      <w:numFmt w:val="lowerLetter"/>
      <w:lvlText w:val="%8)"/>
      <w:lvlJc w:val="left"/>
      <w:pPr>
        <w:ind w:left="4654" w:hanging="440"/>
      </w:pPr>
    </w:lvl>
    <w:lvl w:ilvl="8" w:tentative="0">
      <w:start w:val="1"/>
      <w:numFmt w:val="lowerRoman"/>
      <w:lvlText w:val="%9."/>
      <w:lvlJc w:val="right"/>
      <w:pPr>
        <w:ind w:left="5094" w:hanging="440"/>
      </w:pPr>
    </w:lvl>
  </w:abstractNum>
  <w:abstractNum w:abstractNumId="1">
    <w:nsid w:val="1A432564"/>
    <w:multiLevelType w:val="multilevel"/>
    <w:tmpl w:val="1A432564"/>
    <w:lvl w:ilvl="0" w:tentative="0">
      <w:start w:val="1"/>
      <w:numFmt w:val="japaneseCounting"/>
      <w:lvlText w:val="第%1条"/>
      <w:lvlJc w:val="left"/>
      <w:pPr>
        <w:ind w:left="840" w:hanging="840"/>
      </w:pPr>
      <w:rPr>
        <w:rFonts w:hint="default"/>
        <w:b/>
        <w:bCs/>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C0C7B72"/>
    <w:multiLevelType w:val="multilevel"/>
    <w:tmpl w:val="5C0C7B72"/>
    <w:lvl w:ilvl="0" w:tentative="0">
      <w:start w:val="1"/>
      <w:numFmt w:val="chineseCountingThousand"/>
      <w:lvlText w:val="(%1)"/>
      <w:lvlJc w:val="left"/>
      <w:pPr>
        <w:ind w:left="1574" w:hanging="440"/>
      </w:pPr>
    </w:lvl>
    <w:lvl w:ilvl="1" w:tentative="0">
      <w:start w:val="1"/>
      <w:numFmt w:val="lowerLetter"/>
      <w:lvlText w:val="%2)"/>
      <w:lvlJc w:val="left"/>
      <w:pPr>
        <w:ind w:left="2014" w:hanging="440"/>
      </w:pPr>
    </w:lvl>
    <w:lvl w:ilvl="2" w:tentative="0">
      <w:start w:val="1"/>
      <w:numFmt w:val="lowerRoman"/>
      <w:lvlText w:val="%3."/>
      <w:lvlJc w:val="right"/>
      <w:pPr>
        <w:ind w:left="2454" w:hanging="440"/>
      </w:pPr>
    </w:lvl>
    <w:lvl w:ilvl="3" w:tentative="0">
      <w:start w:val="1"/>
      <w:numFmt w:val="decimal"/>
      <w:lvlText w:val="%4."/>
      <w:lvlJc w:val="left"/>
      <w:pPr>
        <w:ind w:left="2894" w:hanging="440"/>
      </w:pPr>
    </w:lvl>
    <w:lvl w:ilvl="4" w:tentative="0">
      <w:start w:val="1"/>
      <w:numFmt w:val="lowerLetter"/>
      <w:lvlText w:val="%5)"/>
      <w:lvlJc w:val="left"/>
      <w:pPr>
        <w:ind w:left="3334" w:hanging="440"/>
      </w:pPr>
    </w:lvl>
    <w:lvl w:ilvl="5" w:tentative="0">
      <w:start w:val="1"/>
      <w:numFmt w:val="lowerRoman"/>
      <w:lvlText w:val="%6."/>
      <w:lvlJc w:val="right"/>
      <w:pPr>
        <w:ind w:left="3774" w:hanging="440"/>
      </w:pPr>
    </w:lvl>
    <w:lvl w:ilvl="6" w:tentative="0">
      <w:start w:val="1"/>
      <w:numFmt w:val="decimal"/>
      <w:lvlText w:val="%7."/>
      <w:lvlJc w:val="left"/>
      <w:pPr>
        <w:ind w:left="4214" w:hanging="440"/>
      </w:pPr>
    </w:lvl>
    <w:lvl w:ilvl="7" w:tentative="0">
      <w:start w:val="1"/>
      <w:numFmt w:val="lowerLetter"/>
      <w:lvlText w:val="%8)"/>
      <w:lvlJc w:val="left"/>
      <w:pPr>
        <w:ind w:left="4654" w:hanging="440"/>
      </w:pPr>
    </w:lvl>
    <w:lvl w:ilvl="8" w:tentative="0">
      <w:start w:val="1"/>
      <w:numFmt w:val="lowerRoman"/>
      <w:lvlText w:val="%9."/>
      <w:lvlJc w:val="right"/>
      <w:pPr>
        <w:ind w:left="5094" w:hanging="440"/>
      </w:pPr>
    </w:lvl>
  </w:abstractNum>
  <w:abstractNum w:abstractNumId="3">
    <w:nsid w:val="6050233E"/>
    <w:multiLevelType w:val="multilevel"/>
    <w:tmpl w:val="6050233E"/>
    <w:lvl w:ilvl="0" w:tentative="0">
      <w:start w:val="1"/>
      <w:numFmt w:val="chineseCountingThousand"/>
      <w:lvlText w:val="(%1)"/>
      <w:lvlJc w:val="left"/>
      <w:pPr>
        <w:ind w:left="1574" w:hanging="440"/>
      </w:pPr>
    </w:lvl>
    <w:lvl w:ilvl="1" w:tentative="0">
      <w:start w:val="1"/>
      <w:numFmt w:val="lowerLetter"/>
      <w:lvlText w:val="%2)"/>
      <w:lvlJc w:val="left"/>
      <w:pPr>
        <w:ind w:left="2014" w:hanging="440"/>
      </w:pPr>
    </w:lvl>
    <w:lvl w:ilvl="2" w:tentative="0">
      <w:start w:val="1"/>
      <w:numFmt w:val="lowerRoman"/>
      <w:lvlText w:val="%3."/>
      <w:lvlJc w:val="right"/>
      <w:pPr>
        <w:ind w:left="2454" w:hanging="440"/>
      </w:pPr>
    </w:lvl>
    <w:lvl w:ilvl="3" w:tentative="0">
      <w:start w:val="1"/>
      <w:numFmt w:val="decimal"/>
      <w:lvlText w:val="%4."/>
      <w:lvlJc w:val="left"/>
      <w:pPr>
        <w:ind w:left="2894" w:hanging="440"/>
      </w:pPr>
    </w:lvl>
    <w:lvl w:ilvl="4" w:tentative="0">
      <w:start w:val="1"/>
      <w:numFmt w:val="lowerLetter"/>
      <w:lvlText w:val="%5)"/>
      <w:lvlJc w:val="left"/>
      <w:pPr>
        <w:ind w:left="3334" w:hanging="440"/>
      </w:pPr>
    </w:lvl>
    <w:lvl w:ilvl="5" w:tentative="0">
      <w:start w:val="1"/>
      <w:numFmt w:val="lowerRoman"/>
      <w:lvlText w:val="%6."/>
      <w:lvlJc w:val="right"/>
      <w:pPr>
        <w:ind w:left="3774" w:hanging="440"/>
      </w:pPr>
    </w:lvl>
    <w:lvl w:ilvl="6" w:tentative="0">
      <w:start w:val="1"/>
      <w:numFmt w:val="decimal"/>
      <w:lvlText w:val="%7."/>
      <w:lvlJc w:val="left"/>
      <w:pPr>
        <w:ind w:left="4214" w:hanging="440"/>
      </w:pPr>
    </w:lvl>
    <w:lvl w:ilvl="7" w:tentative="0">
      <w:start w:val="1"/>
      <w:numFmt w:val="lowerLetter"/>
      <w:lvlText w:val="%8)"/>
      <w:lvlJc w:val="left"/>
      <w:pPr>
        <w:ind w:left="4654" w:hanging="440"/>
      </w:pPr>
    </w:lvl>
    <w:lvl w:ilvl="8" w:tentative="0">
      <w:start w:val="1"/>
      <w:numFmt w:val="lowerRoman"/>
      <w:lvlText w:val="%9."/>
      <w:lvlJc w:val="right"/>
      <w:pPr>
        <w:ind w:left="5094"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YTgwZDk0NzI3YjQ4ZDBiY2IwMjExMjNhMDRmNTEifQ=="/>
  </w:docVars>
  <w:rsids>
    <w:rsidRoot w:val="00E723A1"/>
    <w:rsid w:val="0001626D"/>
    <w:rsid w:val="00027A2D"/>
    <w:rsid w:val="000515FB"/>
    <w:rsid w:val="00056534"/>
    <w:rsid w:val="00080F10"/>
    <w:rsid w:val="0009022B"/>
    <w:rsid w:val="0009328E"/>
    <w:rsid w:val="000A14DD"/>
    <w:rsid w:val="000A322E"/>
    <w:rsid w:val="000A7F11"/>
    <w:rsid w:val="000B6DB7"/>
    <w:rsid w:val="000C67B1"/>
    <w:rsid w:val="000C75EA"/>
    <w:rsid w:val="000C7689"/>
    <w:rsid w:val="000D1201"/>
    <w:rsid w:val="000E687B"/>
    <w:rsid w:val="00103FAF"/>
    <w:rsid w:val="001171F5"/>
    <w:rsid w:val="00117F25"/>
    <w:rsid w:val="00125012"/>
    <w:rsid w:val="0012791A"/>
    <w:rsid w:val="001368AE"/>
    <w:rsid w:val="0014257A"/>
    <w:rsid w:val="00151858"/>
    <w:rsid w:val="00156D90"/>
    <w:rsid w:val="001629E1"/>
    <w:rsid w:val="00195F1D"/>
    <w:rsid w:val="001A05CB"/>
    <w:rsid w:val="001A7A97"/>
    <w:rsid w:val="001B3632"/>
    <w:rsid w:val="001D1671"/>
    <w:rsid w:val="001D32E3"/>
    <w:rsid w:val="001E4D6E"/>
    <w:rsid w:val="001F1821"/>
    <w:rsid w:val="002015E7"/>
    <w:rsid w:val="00201BAC"/>
    <w:rsid w:val="00220AE3"/>
    <w:rsid w:val="00235A27"/>
    <w:rsid w:val="00247B07"/>
    <w:rsid w:val="00251AEC"/>
    <w:rsid w:val="00254B13"/>
    <w:rsid w:val="0026739B"/>
    <w:rsid w:val="0027157B"/>
    <w:rsid w:val="00291489"/>
    <w:rsid w:val="002A2EB8"/>
    <w:rsid w:val="002B06C2"/>
    <w:rsid w:val="002D0CBA"/>
    <w:rsid w:val="002D51D1"/>
    <w:rsid w:val="002E4964"/>
    <w:rsid w:val="002E730C"/>
    <w:rsid w:val="00320205"/>
    <w:rsid w:val="0032415A"/>
    <w:rsid w:val="0032701D"/>
    <w:rsid w:val="0033351B"/>
    <w:rsid w:val="003346D6"/>
    <w:rsid w:val="00337980"/>
    <w:rsid w:val="0034414A"/>
    <w:rsid w:val="00363A43"/>
    <w:rsid w:val="003823BA"/>
    <w:rsid w:val="00384A38"/>
    <w:rsid w:val="00390C59"/>
    <w:rsid w:val="00393964"/>
    <w:rsid w:val="00393BDF"/>
    <w:rsid w:val="0039617F"/>
    <w:rsid w:val="00397FE4"/>
    <w:rsid w:val="003B09CE"/>
    <w:rsid w:val="003B2531"/>
    <w:rsid w:val="003C6765"/>
    <w:rsid w:val="003D6674"/>
    <w:rsid w:val="00420047"/>
    <w:rsid w:val="0043028D"/>
    <w:rsid w:val="0043565F"/>
    <w:rsid w:val="004571E6"/>
    <w:rsid w:val="00461CED"/>
    <w:rsid w:val="004829AC"/>
    <w:rsid w:val="00492289"/>
    <w:rsid w:val="004A54D7"/>
    <w:rsid w:val="004B215C"/>
    <w:rsid w:val="004B6488"/>
    <w:rsid w:val="004C66DE"/>
    <w:rsid w:val="004D0051"/>
    <w:rsid w:val="004E1A68"/>
    <w:rsid w:val="004F7555"/>
    <w:rsid w:val="004F78F5"/>
    <w:rsid w:val="0051210C"/>
    <w:rsid w:val="0051295D"/>
    <w:rsid w:val="00520BE1"/>
    <w:rsid w:val="005338D7"/>
    <w:rsid w:val="005424DB"/>
    <w:rsid w:val="00542CCA"/>
    <w:rsid w:val="005434A9"/>
    <w:rsid w:val="00560DD5"/>
    <w:rsid w:val="005765AE"/>
    <w:rsid w:val="005A0888"/>
    <w:rsid w:val="005A0FD2"/>
    <w:rsid w:val="005D33EB"/>
    <w:rsid w:val="005E61FE"/>
    <w:rsid w:val="005E6EC4"/>
    <w:rsid w:val="005E7150"/>
    <w:rsid w:val="005E71F7"/>
    <w:rsid w:val="00600A31"/>
    <w:rsid w:val="006022DB"/>
    <w:rsid w:val="00635510"/>
    <w:rsid w:val="00635964"/>
    <w:rsid w:val="00647391"/>
    <w:rsid w:val="00654783"/>
    <w:rsid w:val="00655988"/>
    <w:rsid w:val="00657A68"/>
    <w:rsid w:val="00667F34"/>
    <w:rsid w:val="00675DC3"/>
    <w:rsid w:val="006817E9"/>
    <w:rsid w:val="006919F6"/>
    <w:rsid w:val="006A1758"/>
    <w:rsid w:val="006B2257"/>
    <w:rsid w:val="006D2537"/>
    <w:rsid w:val="006D6DD3"/>
    <w:rsid w:val="006E0CAD"/>
    <w:rsid w:val="006F085C"/>
    <w:rsid w:val="00710E31"/>
    <w:rsid w:val="007119E3"/>
    <w:rsid w:val="00712C25"/>
    <w:rsid w:val="007147D1"/>
    <w:rsid w:val="00717321"/>
    <w:rsid w:val="00721874"/>
    <w:rsid w:val="00722E44"/>
    <w:rsid w:val="0072425F"/>
    <w:rsid w:val="00727BD8"/>
    <w:rsid w:val="0073652B"/>
    <w:rsid w:val="00736986"/>
    <w:rsid w:val="00750626"/>
    <w:rsid w:val="00752F83"/>
    <w:rsid w:val="007556CC"/>
    <w:rsid w:val="00790C72"/>
    <w:rsid w:val="007A30A9"/>
    <w:rsid w:val="007B22FB"/>
    <w:rsid w:val="007B2D9C"/>
    <w:rsid w:val="007F3387"/>
    <w:rsid w:val="007F4942"/>
    <w:rsid w:val="0080670F"/>
    <w:rsid w:val="008110F9"/>
    <w:rsid w:val="00815A81"/>
    <w:rsid w:val="008165F8"/>
    <w:rsid w:val="00820B76"/>
    <w:rsid w:val="008408C5"/>
    <w:rsid w:val="008472F1"/>
    <w:rsid w:val="0085547E"/>
    <w:rsid w:val="00867743"/>
    <w:rsid w:val="00882E0A"/>
    <w:rsid w:val="008960F8"/>
    <w:rsid w:val="008961D0"/>
    <w:rsid w:val="00896BA2"/>
    <w:rsid w:val="008A411E"/>
    <w:rsid w:val="008C04C6"/>
    <w:rsid w:val="008D6D6F"/>
    <w:rsid w:val="008E2F72"/>
    <w:rsid w:val="008E4AA6"/>
    <w:rsid w:val="008F6A47"/>
    <w:rsid w:val="00921AE6"/>
    <w:rsid w:val="00925068"/>
    <w:rsid w:val="0093226A"/>
    <w:rsid w:val="009369BA"/>
    <w:rsid w:val="00953D5D"/>
    <w:rsid w:val="00961E4E"/>
    <w:rsid w:val="0096418A"/>
    <w:rsid w:val="009741C7"/>
    <w:rsid w:val="00974B4F"/>
    <w:rsid w:val="009C1D0B"/>
    <w:rsid w:val="009C7CE9"/>
    <w:rsid w:val="009D08B0"/>
    <w:rsid w:val="009E4062"/>
    <w:rsid w:val="009F631D"/>
    <w:rsid w:val="009F669D"/>
    <w:rsid w:val="00A1219A"/>
    <w:rsid w:val="00A1667B"/>
    <w:rsid w:val="00A22A10"/>
    <w:rsid w:val="00A26555"/>
    <w:rsid w:val="00A31175"/>
    <w:rsid w:val="00A326AD"/>
    <w:rsid w:val="00A357AE"/>
    <w:rsid w:val="00A41FD5"/>
    <w:rsid w:val="00A444B0"/>
    <w:rsid w:val="00A510B4"/>
    <w:rsid w:val="00A53D33"/>
    <w:rsid w:val="00A61D6B"/>
    <w:rsid w:val="00A66C42"/>
    <w:rsid w:val="00A6761B"/>
    <w:rsid w:val="00A751C1"/>
    <w:rsid w:val="00A90067"/>
    <w:rsid w:val="00AA6A46"/>
    <w:rsid w:val="00AB02EB"/>
    <w:rsid w:val="00AB63AE"/>
    <w:rsid w:val="00AC1FDB"/>
    <w:rsid w:val="00AD0655"/>
    <w:rsid w:val="00AE6958"/>
    <w:rsid w:val="00AF0989"/>
    <w:rsid w:val="00B0639A"/>
    <w:rsid w:val="00B14534"/>
    <w:rsid w:val="00B20847"/>
    <w:rsid w:val="00B25AA8"/>
    <w:rsid w:val="00B40DE0"/>
    <w:rsid w:val="00B54174"/>
    <w:rsid w:val="00B543FE"/>
    <w:rsid w:val="00B60209"/>
    <w:rsid w:val="00B60BA5"/>
    <w:rsid w:val="00B610A0"/>
    <w:rsid w:val="00B66FE7"/>
    <w:rsid w:val="00B72F6E"/>
    <w:rsid w:val="00B86557"/>
    <w:rsid w:val="00B86742"/>
    <w:rsid w:val="00BA1319"/>
    <w:rsid w:val="00BA515A"/>
    <w:rsid w:val="00BD4190"/>
    <w:rsid w:val="00BD5546"/>
    <w:rsid w:val="00BE7619"/>
    <w:rsid w:val="00BF08A7"/>
    <w:rsid w:val="00C00A75"/>
    <w:rsid w:val="00C00D4F"/>
    <w:rsid w:val="00C04FEE"/>
    <w:rsid w:val="00C11FB4"/>
    <w:rsid w:val="00C23A8C"/>
    <w:rsid w:val="00C31250"/>
    <w:rsid w:val="00C34818"/>
    <w:rsid w:val="00C529E0"/>
    <w:rsid w:val="00C53867"/>
    <w:rsid w:val="00C6721F"/>
    <w:rsid w:val="00C775FE"/>
    <w:rsid w:val="00C805C2"/>
    <w:rsid w:val="00C85EC0"/>
    <w:rsid w:val="00C97C0B"/>
    <w:rsid w:val="00CA04E8"/>
    <w:rsid w:val="00CA051B"/>
    <w:rsid w:val="00CA77FD"/>
    <w:rsid w:val="00CB05AC"/>
    <w:rsid w:val="00CB2892"/>
    <w:rsid w:val="00CE7DCB"/>
    <w:rsid w:val="00D11953"/>
    <w:rsid w:val="00D120C6"/>
    <w:rsid w:val="00D122B8"/>
    <w:rsid w:val="00D16804"/>
    <w:rsid w:val="00D204F3"/>
    <w:rsid w:val="00D27DCA"/>
    <w:rsid w:val="00D27F63"/>
    <w:rsid w:val="00D311E1"/>
    <w:rsid w:val="00D316D2"/>
    <w:rsid w:val="00D451B6"/>
    <w:rsid w:val="00D92553"/>
    <w:rsid w:val="00DA2B30"/>
    <w:rsid w:val="00DA4409"/>
    <w:rsid w:val="00DB0304"/>
    <w:rsid w:val="00DC19E1"/>
    <w:rsid w:val="00DC7333"/>
    <w:rsid w:val="00DE3708"/>
    <w:rsid w:val="00DF3388"/>
    <w:rsid w:val="00DF71D0"/>
    <w:rsid w:val="00E108E4"/>
    <w:rsid w:val="00E13A3F"/>
    <w:rsid w:val="00E21D80"/>
    <w:rsid w:val="00E27F70"/>
    <w:rsid w:val="00E30184"/>
    <w:rsid w:val="00E31B75"/>
    <w:rsid w:val="00E328D0"/>
    <w:rsid w:val="00E55745"/>
    <w:rsid w:val="00E723A1"/>
    <w:rsid w:val="00E93B49"/>
    <w:rsid w:val="00EA3581"/>
    <w:rsid w:val="00EB6507"/>
    <w:rsid w:val="00EC729B"/>
    <w:rsid w:val="00EF327A"/>
    <w:rsid w:val="00F12DD4"/>
    <w:rsid w:val="00F255A5"/>
    <w:rsid w:val="00F27944"/>
    <w:rsid w:val="00F36F68"/>
    <w:rsid w:val="00F4412A"/>
    <w:rsid w:val="00F510AF"/>
    <w:rsid w:val="00F644AF"/>
    <w:rsid w:val="00F734B2"/>
    <w:rsid w:val="00FA3BE0"/>
    <w:rsid w:val="00FA5283"/>
    <w:rsid w:val="00FA60C6"/>
    <w:rsid w:val="00FC46BB"/>
    <w:rsid w:val="00FD0C43"/>
    <w:rsid w:val="00FD39EB"/>
    <w:rsid w:val="00FD4A7F"/>
    <w:rsid w:val="00FD612A"/>
    <w:rsid w:val="00FF0919"/>
    <w:rsid w:val="700B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uiPriority w:val="99"/>
    <w:rPr>
      <w:b/>
      <w:bCs/>
    </w:rPr>
  </w:style>
  <w:style w:type="character" w:styleId="8">
    <w:name w:val="annotation reference"/>
    <w:basedOn w:val="7"/>
    <w:semiHidden/>
    <w:unhideWhenUsed/>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文字 字符"/>
    <w:basedOn w:val="7"/>
    <w:link w:val="2"/>
    <w:semiHidden/>
    <w:uiPriority w:val="99"/>
  </w:style>
  <w:style w:type="character" w:customStyle="1" w:styleId="13">
    <w:name w:val="批注主题 字符"/>
    <w:basedOn w:val="12"/>
    <w:link w:val="5"/>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2E67-34F2-47DA-8F51-8543939D39DE}">
  <ds:schemaRefs/>
</ds:datastoreItem>
</file>

<file path=docProps/app.xml><?xml version="1.0" encoding="utf-8"?>
<Properties xmlns="http://schemas.openxmlformats.org/officeDocument/2006/extended-properties" xmlns:vt="http://schemas.openxmlformats.org/officeDocument/2006/docPropsVTypes">
  <Template>Normal</Template>
  <Pages>6</Pages>
  <Words>522</Words>
  <Characters>2979</Characters>
  <Lines>24</Lines>
  <Paragraphs>6</Paragraphs>
  <TotalTime>11</TotalTime>
  <ScaleCrop>false</ScaleCrop>
  <LinksUpToDate>false</LinksUpToDate>
  <CharactersWithSpaces>3495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2023-03-28T01:35:00Z</dcterms:created>
  <dc:creator>LawyerGu</dc:creator>
  <cp:lastModifiedBy>江淨</cp:lastModifiedBy>
  <dcterms:modified xsi:type="dcterms:W3CDTF">2024-01-29T01:10:57Z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52BAEB241A274F3E921C461B43258744_13</vt:lpwstr>
  </property>
</Properties>
</file>