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0DC3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法定代表人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（负责人）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身份证明书</w:t>
      </w:r>
    </w:p>
    <w:p w14:paraId="68F6E2F0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 w14:paraId="5AE576FB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法定代表人</w:t>
      </w:r>
      <w:r>
        <w:rPr>
          <w:rFonts w:hint="eastAsia" w:ascii="宋体" w:hAnsi="宋体" w:cs="宋体"/>
          <w:sz w:val="44"/>
          <w:szCs w:val="44"/>
          <w:lang w:eastAsia="zh-CN"/>
        </w:rPr>
        <w:t>（负责人）</w:t>
      </w:r>
      <w:r>
        <w:rPr>
          <w:rFonts w:hint="eastAsia" w:ascii="宋体" w:hAnsi="宋体" w:eastAsia="宋体" w:cs="宋体"/>
          <w:sz w:val="44"/>
          <w:szCs w:val="44"/>
        </w:rPr>
        <w:t>身份证明书</w:t>
      </w:r>
    </w:p>
    <w:p w14:paraId="78C9997D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E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同志现任我单位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职务，是我单位的法定代表人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，特此证明。</w:t>
      </w:r>
    </w:p>
    <w:p w14:paraId="52262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C22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F2C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名称）（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1090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52AD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5C3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4DCF2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 w14:paraId="5CFB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</w:t>
      </w:r>
    </w:p>
    <w:p w14:paraId="01F977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06835C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01E480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6BDA0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40F13A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4215E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00150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114F5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30DAC0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1.本示范文本参照《中华人民共和国民事诉讼法》第五十一条第二款以及《最高人民法院关于适用〈中华人民共和国民事诉讼法〉的解释》第五十条、第五十一条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制定，供法人申请人证明法定代表人身份使用。</w:t>
      </w:r>
    </w:p>
    <w:p w14:paraId="6F17E87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2.法人的法定代表人以依法登记的为准，但法律另有规定的除外。依法不需要办理登记的法人，以其主要负责人为法定代表人。</w:t>
      </w:r>
    </w:p>
    <w:p w14:paraId="7F6FA0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3.行政复议期间，法人的法定代表人变更的，由新的法定代表人继续代表法人进行行政复议，并应向行政复议机关提交新的法定代表人身份证明。原法定代表人在任期间进行的行政复议行为有效。</w:t>
      </w:r>
    </w:p>
    <w:p w14:paraId="0BA50F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F623783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8FA21B1"/>
    <w:rsid w:val="4DBD1AE3"/>
    <w:rsid w:val="4DE210A6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346</Characters>
  <Lines>0</Lines>
  <Paragraphs>0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313FA578DEDB416A8B79086BD1B8C423_13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